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Ahlers und Brinkmann | Aktenzeichen intern 2026-SOZ-5334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Schulprotokoll Raumwechsel</w:t>
      </w:r>
    </w:p>
    <w:p>
      <w:pPr>
        <w:spacing w:line="259" w:lineRule="auto" w:after="60"/>
        <w:jc w:val="both"/>
      </w:pPr>
      <w:r>
        <w:t>Klassenleiterin Nadja Reimers dokumentiert zwei Eskalationen bei kurzfristiger Raumänderung. Levin verließ das Schulgebäude, wurde nach 38 Minuten am Busbahnhof gefunden und konnte die Klausur nicht fortsetzen.</w:t>
      </w:r>
    </w:p>
    <w:p>
      <w:pPr>
        <w:spacing w:line="259" w:lineRule="auto" w:after="60"/>
        <w:jc w:val="both"/>
      </w:pPr>
      <w:r>
        <w:t>Das Protokoll enthält genaue Uhrzeiten, beteiligte Lehrkräfte und die Reaktion des Betriebs.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