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line="259" w:lineRule="auto" w:after="60"/>
      </w:pPr>
      <w:r>
        <w:rPr>
          <w:rFonts w:ascii="Times New Roman" w:hAnsi="Times New Roman"/>
        </w:rPr>
        <w:t>Anzeige des Eintritts der Zahlungsunfähigkeit (Paragraf 32 Abs. 3 StaRUG) und Antrag nach Paragraf 33 Abs. 2 Satz 1 Nr. 1 StaRUG</w:t>
      </w:r>
    </w:p>
    <w:p>
      <w:pPr>
        <w:spacing w:before="120" w:after="60" w:line="259" w:lineRule="auto"/>
        <w:jc w:val="left"/>
      </w:pPr>
      <w:r>
        <w:rPr>
          <w:rFonts w:ascii="Times New Roman" w:hAnsi="Times New Roman"/>
          <w:b/>
          <w:sz w:val="22"/>
        </w:rPr>
        <w:t>Rechtsanwälte Quirrenbach &amp; Partner mbB</w:t>
      </w:r>
      <w:r>
        <w:rPr>
          <w:rFonts w:ascii="Times New Roman" w:hAnsi="Times New Roman"/>
          <w:b/>
          <w:sz w:val="22"/>
        </w:rPr>
        <w:t xml:space="preserve"> · Az. 2024/1187-RES</w:t>
      </w:r>
    </w:p>
    <w:p>
      <w:pPr>
        <w:spacing w:line="259" w:lineRule="auto" w:after="60"/>
        <w:jc w:val="left"/>
      </w:pPr>
      <w:r>
        <w:rPr>
          <w:b/>
        </w:rPr>
        <w:t>An das Amtsgericht Düsseldorf — Restrukturierungsgericht — 603 RES 6/24</w:t>
      </w:r>
      <w:r>
        <w:t xml:space="preserve"> · Düsseldorf, den 06.12.2024</w:t>
      </w:r>
    </w:p>
    <w:p>
      <w:pPr>
        <w:spacing w:before="120" w:after="60" w:line="259" w:lineRule="auto"/>
        <w:jc w:val="left"/>
      </w:pPr>
      <w:r>
        <w:rPr>
          <w:rFonts w:ascii="Times New Roman" w:hAnsi="Times New Roman"/>
          <w:b/>
          <w:sz w:val="22"/>
        </w:rPr>
        <w:t>In der Restrukturierungssache der Silberweiher Beteiligungs GmbH zeigen wir an:</w:t>
      </w:r>
    </w:p>
    <w:p>
      <w:pPr>
        <w:spacing w:line="259" w:lineRule="auto" w:after="60"/>
        <w:jc w:val="left"/>
      </w:pPr>
      <w:r>
        <w:t xml:space="preserve">1 Mit Schreiben vom 02.12.2024 hat die Rheinboden Kreditbank AG die in Gruppe 1 des Planentwurfs eingestellte Forderung über 610.054,00 EUR fällig gestellt. Die Schuldnerin kann diese Forderung nicht bedienen. </w:t>
      </w:r>
      <w:r>
        <w:rPr>
          <w:b/>
        </w:rPr>
        <w:t>Damit ist Zahlungsunfähigkeit im Sinne des Paragraf 17 Abs. 2 InsO eingetreten; wir zeigen dies nach Paragraf 32 Abs. 3 StaRUG an.</w:t>
      </w:r>
    </w:p>
    <w:p>
      <w:pPr>
        <w:spacing w:line="259" w:lineRule="auto" w:after="60"/>
        <w:jc w:val="left"/>
      </w:pPr>
      <w:r>
        <w:t xml:space="preserve">2 Wir beantragen, </w:t>
      </w:r>
      <w:r>
        <w:rPr>
          <w:b/>
        </w:rPr>
        <w:t>von einer Aufhebung der Restrukturierungssache abzusehen</w:t>
      </w:r>
      <w:r>
        <w:t xml:space="preserve"> (Paragraf 33 Abs. 2 Satz 1 Nr. 1 Halbsatz 2 und 3 StaRUG):</w:t>
      </w:r>
    </w:p>
    <w:p>
      <w:pPr>
        <w:spacing w:line="259" w:lineRule="auto" w:after="60"/>
        <w:jc w:val="left"/>
      </w:pPr>
      <w:r>
        <w:t>2.1 Die Zahlungsunfähigkeit resultiert allein aus der Fälligstellung einer Forderung, die nach dem angezeigten Konzept durch den Plan gestaltet werden soll. Mit Annahme und Bestätigung des Plans entfiele die Insolvenzreife.</w:t>
      </w:r>
    </w:p>
    <w:p>
      <w:pPr>
        <w:spacing w:line="259" w:lineRule="auto" w:after="60"/>
        <w:jc w:val="left"/>
      </w:pPr>
      <w:r>
        <w:t>2.2 Die Eröffnung eines Insolvenzverfahrens läge offensichtlich nicht im Interesse der Gläubigergesamtheit: Der Plan gewährt eine Quote von 1 Prozent, während in der Liquidation mit keiner Quote zu rechnen ist. Ein Insolvenzverfahren würde nur Kosten auslösen und die Befriedigungsaussichten auf null reduzieren.</w:t>
      </w:r>
    </w:p>
    <w:p>
      <w:pPr>
        <w:spacing w:line="259" w:lineRule="auto" w:after="60"/>
        <w:jc w:val="left"/>
      </w:pPr>
      <w:r>
        <w:t>2.3 Die Erreichung des Restrukturierungsziels ist überwiegend wahrscheinlich; der Planbeitrag der Wachlarz Industria Sp. z o.o. über 42.000,00 EUR ist angekündigt (Anlage: Beitragserklärung im Entwurf).</w:t>
      </w:r>
    </w:p>
    <w:p>
      <w:pPr>
        <w:spacing w:line="259" w:lineRule="auto" w:after="60"/>
        <w:jc w:val="left"/>
      </w:pPr>
      <w:r>
        <w:rPr>
          <w:i/>
        </w:rPr>
        <w:t>(gez.) Dr. Quirrenbach, Rechtsanwalt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91" w:right="1247" w:bottom="1134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/>
    <w:r>
      <w:rPr>
        <w:rFonts w:ascii="Times New Roman" w:hAnsi="Times New Roman"/>
        <w:b w:val="0"/>
        <w:color w:val="777777"/>
        <w:sz w:val="17"/>
      </w:rPr>
      <w:t>Vertraulich | Bearbeitungsstand Juli 2026 | nur zur Aktenbearbeitung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Times New Roman" w:hAnsi="Times New Roman"/>
        <w:b w:val="0"/>
        <w:i w:val="0"/>
        <w:color w:val="666666"/>
        <w:sz w:val="17"/>
      </w:rPr>
      <w:t>Lindenhof und Partner mbB | Insolvenz- und Restrukturierungsakte | Bearbeitungsstand Juli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b/>
      <w:color w:val="17365D" w:themeColor="text2" w:themeShade="BF"/>
      <w:spacing w:val="5"/>
      <w:kern w:val="28"/>
      <w:sz w:val="3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