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Landgericht Düsseldorf — Beschluss vom 25.03.2025 — 314c T 4/25</w:t>
      </w:r>
    </w:p>
    <w:p>
      <w:pPr>
        <w:spacing w:line="259" w:lineRule="auto" w:after="60"/>
        <w:jc w:val="left"/>
      </w:pPr>
      <w:r>
        <w:t xml:space="preserve">In der Restrukturierungssache der </w:t>
      </w:r>
      <w:r>
        <w:rPr>
          <w:b/>
        </w:rPr>
        <w:t>Silberweiher Beteiligungs GmbH</w:t>
      </w:r>
      <w:r>
        <w:t xml:space="preserve"> hat die 314c. Zivilkammer des Landgerichts Düsseldorf — nach Übertragung auf die Kammer — beschlossen:</w:t>
      </w:r>
    </w:p>
    <w:p>
      <w:pPr>
        <w:spacing w:line="259" w:lineRule="auto" w:after="60"/>
        <w:jc w:val="left"/>
      </w:pPr>
      <w:r>
        <w:rPr>
          <w:b/>
        </w:rPr>
        <w:t>Die sofortige Beschwerde der Schuldnerin gegen den Beschluss des Amtsgerichts Düsseldorf vom 15.01.2025 (603 RES 6/24) wird zurückgewiesen. Die Rechtsbeschwerde wird zugelassen.</w:t>
      </w:r>
    </w:p>
    <w:p>
      <w:pPr>
        <w:spacing w:line="259" w:lineRule="auto" w:after="60"/>
        <w:jc w:val="left"/>
      </w:pPr>
      <w:r>
        <w:rPr>
          <w:b/>
        </w:rPr>
        <w:t>Gründe (Auszug):</w:t>
      </w:r>
      <w:r>
        <w:t xml:space="preserve"> Die sofortige Beschwerde ist zulässig, aber unbegründet. Nach der Anzeige der Zahlungsunfähigkeit vom 06.12.2024 ergibt sich ein Aufhebungsgrund jedenfalls aus Paragraf 33 Abs. 2 Satz 1 Nr. 1 Halbsatz 1 StaRUG. Ein Grund, von der Aufhebung abzusehen, liegt nicht vor. Es kann nicht festgestellt werden, dass die Eröffnung eines Insolvenzverfahrens im Hinblick auf den erreichten Stand der Restrukturierungssache offensichtlich nicht im Interesse der Gesamtheit der Gläubiger läge (Halbsatz 2); die Sache ist über die Anzeige nicht hinausgekommen, und es ist nicht offensichtlich, dass die Gläubiger im Insolvenzverfahren eine noch geringere Quote erhielten als die im Plan vorgesehene Quote von 1 Prozent. Auch der Ausnahmetatbestand des Halbsatzes 3 liegt nicht vor: Dass das Sanierungsziel überwiegend wahrscheinlich erreicht wird, ist nicht erkennbar. Die — nicht einmal unterzeichnete — Erklärung eines polnischen Unternehmens, einen Planbeitrag von 42.000,00 EUR zu erbringen, trägt die Annahme eines längerfristig eintretenden Sanierungserfolgs nicht. Ob zudem die Gruppenbildung die Aufhebung nach Paragraf 33 Abs. 2 Satz 1 Nr. 2 StaRUG rechtfertigte, kann offenbleiben.</w:t>
      </w:r>
    </w:p>
    <w:p>
      <w:pPr>
        <w:spacing w:line="259" w:lineRule="auto" w:after="60"/>
        <w:jc w:val="left"/>
      </w:pPr>
      <w:r>
        <w:t>Die Rechtsbeschwerde wird wegen grundsätzlicher Bedeutung zugelassen.</w:t>
      </w:r>
    </w:p>
    <w:p>
      <w:pPr>
        <w:spacing w:line="259" w:lineRule="auto" w:after="60"/>
        <w:jc w:val="left"/>
      </w:pPr>
      <w:r>
        <w:rPr>
          <w:i/>
        </w:rPr>
        <w:t>(gez.) Dr. Cremerius, Vorsitzende Richterin am Landgericht — (gez.) Dr. Poll — (gez.) Wiedenhaus</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