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01 – Mandatsgrundlage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Aktenzeichen:</w:t>
      </w:r>
      <w:r>
        <w:rPr>
          <w:rFonts w:ascii="Times New Roman" w:hAnsi="Times New Roman"/>
          <w:b w:val="0"/>
          <w:i w:val="0"/>
          <w:sz w:val="22"/>
        </w:rPr>
        <w:t xml:space="preserve"> 203 IN 71/26 SA / 203 RES 7/26 / 3 O 116/26</w:t>
      </w:r>
    </w:p>
    <w:p>
      <w:pPr>
        <w:spacing w:line="259" w:lineRule="auto" w:after="60"/>
        <w:jc w:val="left"/>
      </w:pPr>
      <w:r>
        <w:rPr>
          <w:rFonts w:ascii="Times New Roman" w:hAnsi="Times New Roman"/>
          <w:b w:val="0"/>
          <w:i w:val="0"/>
          <w:sz w:val="22"/>
        </w:rPr>
        <w:t>Mandantin:</w:t>
      </w:r>
      <w:r>
        <w:rPr>
          <w:rFonts w:ascii="Times New Roman" w:hAnsi="Times New Roman"/>
          <w:b w:val="0"/>
          <w:i w:val="0"/>
          <w:sz w:val="22"/>
        </w:rPr>
        <w:t xml:space="preserve"> Großbach Druckguss &amp; Präzision GmbH &amp; Co. KG, Anscharstraße 14, 99084 Erfurt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Kanzlei:</w:t>
      </w:r>
      <w:r>
        <w:rPr>
          <w:rFonts w:ascii="Times New Roman" w:hAnsi="Times New Roman"/>
          <w:b/>
          <w:sz w:val="22"/>
        </w:rPr>
        <w:t xml:space="preserve"> Drosselberg &amp; Partner Insolvenzrecht, Erfurt</w:t>
      </w:r>
    </w:p>
    <w:p>
      <w:pPr>
        <w:spacing w:line="259" w:lineRule="auto" w:after="60"/>
        <w:jc w:val="left"/>
      </w:pPr>
      <w:r>
        <w:rPr>
          <w:b/>
        </w:rPr>
        <w:t>Sachbearbeiter:</w:t>
      </w:r>
      <w:r>
        <w:t xml:space="preserve"> RA Dr. Maximilian Drosselberg, Fachanwalt für Insolvenz- und Sanierungsrecht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22. April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Vertraulichkeitsstufe:</w:t>
      </w:r>
      <w:r>
        <w:rPr>
          <w:rFonts w:ascii="Times New Roman" w:hAnsi="Times New Roman"/>
          <w:b/>
          <w:sz w:val="22"/>
        </w:rPr>
        <w:t xml:space="preserve"> Anwaltlich privilegiert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1. Gegenstand des Mandats</w:t>
      </w:r>
    </w:p>
    <w:p>
      <w:pPr>
        <w:spacing w:line="259" w:lineRule="auto" w:after="60"/>
        <w:jc w:val="left"/>
      </w:pPr>
      <w:r>
        <w:t>Die Kanzlei Drosselberg &amp; Partner Insolvenzrecht, Erfurt, wird von der Großbach Druckguss &amp;</w:t>
      </w:r>
    </w:p>
    <w:p>
      <w:pPr>
        <w:spacing w:line="259" w:lineRule="auto" w:after="60"/>
        <w:jc w:val="left"/>
      </w:pPr>
      <w:r>
        <w:t>Präzision GmbH &amp; Co. KG (nachfolgend „Mandantin" oder „KG") mit der umfassenden insolvenz-</w:t>
      </w:r>
    </w:p>
    <w:p>
      <w:pPr>
        <w:spacing w:line="259" w:lineRule="auto" w:after="60"/>
        <w:jc w:val="left"/>
      </w:pPr>
      <w:r>
        <w:t>und sanierungsrechtlichen Beratung beauftragt. Gegenstand des Mandats sind:</w:t>
      </w:r>
    </w:p>
    <w:p>
      <w:pPr>
        <w:pStyle w:val="ListNumber"/>
        <w:spacing w:line="259" w:lineRule="auto" w:after="60"/>
      </w:pPr>
      <w:r>
        <w:rPr>
          <w:b/>
        </w:rPr>
        <w:t>Sanierungsberatung</w:t>
      </w:r>
      <w:r>
        <w:t xml:space="preserve"> im Vorfeld einer möglichen Insolvenzantragstellung gemäß §§ 17–19 InsO,</w:t>
      </w:r>
    </w:p>
    <w:p>
      <w:pPr>
        <w:spacing w:line="259" w:lineRule="auto" w:after="60"/>
        <w:jc w:val="left"/>
      </w:pPr>
      <w:r>
        <w:t>insbesondere Prüfung des Vorliegens drohender Zahlungsunfähigkeit (§ 18 InsO) als</w:t>
      </w:r>
    </w:p>
    <w:p>
      <w:pPr>
        <w:spacing w:line="259" w:lineRule="auto" w:after="60"/>
        <w:jc w:val="left"/>
      </w:pPr>
      <w:r>
        <w:t>Antragsvoraussetzung für das Schutzschirmverfahren.</w:t>
      </w:r>
    </w:p>
    <w:p>
      <w:pPr>
        <w:pStyle w:val="ListNumber"/>
        <w:spacing w:line="259" w:lineRule="auto" w:after="60"/>
      </w:pPr>
      <w:r>
        <w:rPr>
          <w:b/>
        </w:rPr>
        <w:t>Schutzschirmverfahren</w:t>
      </w:r>
      <w:r>
        <w:t xml:space="preserve"> gemäß § 270d InsO beim Amtsgericht Erfurt: Vorbereitung und</w:t>
      </w:r>
    </w:p>
    <w:p>
      <w:pPr>
        <w:spacing w:line="259" w:lineRule="auto" w:after="60"/>
        <w:jc w:val="left"/>
      </w:pPr>
      <w:r>
        <w:t>Einreichung des Antrags, Erstellung des Sanierungskonzepts i.S.d. IDW S 6, Vorschlag eines</w:t>
      </w:r>
    </w:p>
    <w:p>
      <w:pPr>
        <w:spacing w:line="259" w:lineRule="auto" w:after="60"/>
        <w:jc w:val="left"/>
      </w:pPr>
      <w:r>
        <w:t>Sachwalters.</w:t>
      </w:r>
    </w:p>
    <w:p>
      <w:pPr>
        <w:pStyle w:val="ListNumber"/>
        <w:spacing w:line="259" w:lineRule="auto" w:after="60"/>
      </w:pPr>
      <w:r>
        <w:rPr>
          <w:b/>
        </w:rPr>
        <w:t>StaRUG-Restrukturierungsplan</w:t>
      </w:r>
      <w:r>
        <w:t>: Parallele Prüfung und ggf. Umsetzung eines</w:t>
      </w:r>
    </w:p>
    <w:p>
      <w:pPr>
        <w:spacing w:line="259" w:lineRule="auto" w:after="60"/>
        <w:jc w:val="left"/>
      </w:pPr>
      <w:r>
        <w:t>Restrukturierungsplans außerhalb des Insolvenzverfahrens gemäß dem Gesetz über den</w:t>
      </w:r>
    </w:p>
    <w:p>
      <w:pPr>
        <w:spacing w:line="259" w:lineRule="auto" w:after="60"/>
        <w:jc w:val="left"/>
      </w:pPr>
      <w:r>
        <w:t>Stabilisierungs- und Restrukturierungsrahmen für Unternehmen (StaRUG), Anzeige der</w:t>
      </w:r>
    </w:p>
    <w:p>
      <w:pPr>
        <w:spacing w:line="259" w:lineRule="auto" w:after="60"/>
        <w:jc w:val="left"/>
      </w:pPr>
      <w:r>
        <w:t>Restrukturierungssache beim AG Erfurt als Restrukturierungsgericht.</w:t>
      </w:r>
    </w:p>
    <w:p>
      <w:pPr>
        <w:pStyle w:val="ListNumber"/>
        <w:spacing w:line="259" w:lineRule="auto" w:after="60"/>
      </w:pPr>
      <w:r>
        <w:rPr>
          <w:b/>
        </w:rPr>
        <w:t>Gläubigerverhandlungen</w:t>
      </w:r>
      <w:r>
        <w:t>: Verhandlungsführung gegenüber der Sparkasse Mittelthüringen</w:t>
      </w:r>
    </w:p>
    <w:p>
      <w:pPr>
        <w:spacing w:line="259" w:lineRule="auto" w:after="60"/>
        <w:jc w:val="left"/>
      </w:pPr>
      <w:r>
        <w:t>(Hauptgläubigerin, KK-Kredit 4,8 Mio. EUR), Aluminium Stade GmbH &amp; Co. KG,</w:t>
      </w:r>
    </w:p>
    <w:p>
      <w:pPr>
        <w:spacing w:line="259" w:lineRule="auto" w:after="60"/>
        <w:jc w:val="left"/>
      </w:pPr>
      <w:r>
        <w:t>Magnesium Manfred Voß KG sowie dem Finanzamt Erfurt.</w:t>
      </w:r>
    </w:p>
    <w:p>
      <w:pPr>
        <w:pStyle w:val="ListNumber"/>
        <w:spacing w:line="259" w:lineRule="auto" w:after="60"/>
      </w:pPr>
      <w:r>
        <w:rPr>
          <w:b/>
        </w:rPr>
        <w:t>Insolvenzanfechtung</w:t>
      </w:r>
      <w:r>
        <w:t>: Prüfung und ggf. gerichtliche Geltendmachung von</w:t>
      </w:r>
    </w:p>
    <w:p>
      <w:pPr>
        <w:spacing w:line="259" w:lineRule="auto" w:after="60"/>
        <w:jc w:val="left"/>
      </w:pPr>
      <w:r>
        <w:t>Anfechtungsansprüchen nach §§ 129 ff. InsO, insbesondere Vorsatzanfechtung gemäß § 133 InsO</w:t>
      </w:r>
    </w:p>
    <w:p>
      <w:pPr>
        <w:spacing w:line="259" w:lineRule="auto" w:after="60"/>
        <w:jc w:val="left"/>
      </w:pPr>
      <w:r>
        <w:t>hinsichtlich der Rückzahlung eines Gesellschafterdarlehens an Friedhelm Großbach</w:t>
      </w:r>
    </w:p>
    <w:p>
      <w:pPr>
        <w:spacing w:line="259" w:lineRule="auto" w:after="60"/>
        <w:jc w:val="left"/>
      </w:pPr>
      <w:r>
        <w:t>(380.000 EUR, 18. Januar 2026) sowie der Bonuszahlung an Bertha Großbach-Riemenschneider</w:t>
      </w:r>
    </w:p>
    <w:p>
      <w:pPr>
        <w:spacing w:line="259" w:lineRule="auto" w:after="60"/>
        <w:jc w:val="left"/>
      </w:pPr>
      <w:r>
        <w:t>(22.000 EUR).</w:t>
      </w:r>
    </w:p>
    <w:p>
      <w:pPr>
        <w:pStyle w:val="ListNumber"/>
        <w:spacing w:line="259" w:lineRule="auto" w:after="60"/>
      </w:pPr>
      <w:r>
        <w:rPr>
          <w:b/>
        </w:rPr>
        <w:t>Krypto-Verwertung</w:t>
      </w:r>
      <w:r>
        <w:t>: Beratung zur Verwertung von 8 BTC (Bitvavo-Wallet, Marktwert ca.</w:t>
      </w:r>
    </w:p>
    <w:p>
      <w:pPr>
        <w:spacing w:line="259" w:lineRule="auto" w:after="60"/>
        <w:jc w:val="left"/>
      </w:pPr>
      <w:r>
        <w:t>612.000 EUR) im Rahmen des Insolvenzverfahrens bzw. als Sanierungsbeitrag.</w:t>
      </w:r>
    </w:p>
    <w:p>
      <w:pPr>
        <w:pStyle w:val="ListNumber"/>
        <w:spacing w:line="259" w:lineRule="auto" w:after="60"/>
      </w:pPr>
      <w:r>
        <w:rPr>
          <w:b/>
        </w:rPr>
        <w:t>Abwehr des Gläubigerantrags</w:t>
      </w:r>
      <w:r>
        <w:t xml:space="preserve"> der Magnesium Manfred Voß KG.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Mandantin – Kurzprofil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Großbach Druckguss &amp; Präzision GmbH &amp; Co. KG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HRA 4471, Amtsgericht Erfurt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Anscharstraße 14, 99084 Erfurt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Gründungsjahr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1962 (Familienunternehmen, 3. Generation)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Mitarbeiter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187 (Stand: April 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Komplementärin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Großbach Verwaltungs-GmbH, HRB 7882, AG Erfurt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Geschäftsführer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Friedhelm Großbach (64), Senior-Kommanditist und alleiniger GF bis 2022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Junior-GF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Bertha Großbach-Riemenschneider (38), Tochter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Aluminium- und Magnesium-Druckguss, Präzisionsbearbeitung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Hauptkunden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Volkswagen Sachsen GmbH, MAN Steyr GmbH, ZF Sachsen GmbH, Siemens Mobility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 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47,2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 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39,8 Mio. EUR (geprüft)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31,4 Mio. EUR (vorläufig, ungeprüft)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Auslöser der Krise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3.1 Strukturelle Krisenursachen</w:t>
      </w:r>
    </w:p>
    <w:p>
      <w:pPr>
        <w:spacing w:line="259" w:lineRule="auto" w:after="60"/>
        <w:jc w:val="left"/>
      </w:pPr>
      <w:r>
        <w:t>Die wirtschaftliche Schieflage der KG resultiert aus einem Zusammentreffen mehrerer exogener</w:t>
      </w:r>
    </w:p>
    <w:p>
      <w:pPr>
        <w:spacing w:line="259" w:lineRule="auto" w:after="60"/>
        <w:jc w:val="left"/>
      </w:pPr>
      <w:r>
        <w:t>und struktureller Faktoren:</w:t>
      </w:r>
    </w:p>
    <w:p>
      <w:pPr>
        <w:spacing w:line="259" w:lineRule="auto" w:after="60"/>
        <w:jc w:val="left"/>
      </w:pPr>
      <w:r>
        <w:rPr>
          <w:b/>
        </w:rPr>
        <w:t>Energiekostenexplosion:</w:t>
      </w:r>
      <w:r>
        <w:t xml:space="preserve"> Der Druckguss-Prozess ist energieintensiv (Aluminiumschmelze,</w:t>
      </w:r>
    </w:p>
    <w:p>
      <w:pPr>
        <w:spacing w:line="259" w:lineRule="auto" w:after="60"/>
        <w:jc w:val="left"/>
      </w:pPr>
      <w:r>
        <w:t>Hochdruckgussmaschinen, Druckluftversorgung). Die Energiekosten der KG stiegen von 1,2 Mio. EUR</w:t>
      </w:r>
    </w:p>
    <w:p>
      <w:pPr>
        <w:spacing w:line="259" w:lineRule="auto" w:after="60"/>
        <w:jc w:val="left"/>
      </w:pPr>
      <w:r>
        <w:t>(2021) auf 3,1 Mio. EUR (2024), ein Anstieg von rund 158 %. Trotz kurzfristiger Absicherung über</w:t>
      </w:r>
    </w:p>
    <w:p>
      <w:pPr>
        <w:spacing w:line="259" w:lineRule="auto" w:after="60"/>
        <w:jc w:val="left"/>
      </w:pPr>
      <w:r>
        <w:t>Energielieferverträge (bis Q3/2024) konnten die gestiegenen Kosten nicht vollständig an die</w:t>
      </w:r>
    </w:p>
    <w:p>
      <w:pPr>
        <w:spacing w:line="259" w:lineRule="auto" w:after="60"/>
        <w:jc w:val="left"/>
      </w:pPr>
      <w:r>
        <w:t>Kunden weitergegeben werden.</w:t>
      </w:r>
    </w:p>
    <w:p>
      <w:pPr>
        <w:spacing w:line="259" w:lineRule="auto" w:after="60"/>
        <w:jc w:val="left"/>
      </w:pPr>
      <w:r>
        <w:rPr>
          <w:b/>
        </w:rPr>
        <w:t>Volumeneinbruch durch E-Mobilitäts-Transition:</w:t>
      </w:r>
      <w:r>
        <w:t xml:space="preserve"> Die Hauptabnehmer Volkswagen Sachsen und</w:t>
      </w:r>
    </w:p>
    <w:p>
      <w:pPr>
        <w:spacing w:line="259" w:lineRule="auto" w:after="60"/>
        <w:jc w:val="left"/>
      </w:pPr>
      <w:r>
        <w:t>ZF Sachsen haben ihre Bestellvolumina für konventionelle Antriebskomponenten (Getriebegehäuse,</w:t>
      </w:r>
    </w:p>
    <w:p>
      <w:pPr>
        <w:spacing w:line="259" w:lineRule="auto" w:after="60"/>
        <w:jc w:val="left"/>
      </w:pPr>
      <w:r>
        <w:t>Motorblockteile) seit 2023 schrittweise reduziert. Neue Aufträge im Bereich Batteriegehäuse und</w:t>
      </w:r>
    </w:p>
    <w:p>
      <w:pPr>
        <w:spacing w:line="259" w:lineRule="auto" w:after="60"/>
        <w:jc w:val="left"/>
      </w:pPr>
      <w:r>
        <w:t>strukturelle Karosseriebauteile (Aluminium-Gussteile für E-Fahrzeuge) konnten den Rückgang nicht</w:t>
      </w:r>
    </w:p>
    <w:p>
      <w:pPr>
        <w:spacing w:line="259" w:lineRule="auto" w:after="60"/>
        <w:jc w:val="left"/>
      </w:pPr>
      <w:r>
        <w:t>vollständig kompensieren.</w:t>
      </w:r>
    </w:p>
    <w:p>
      <w:pPr>
        <w:spacing w:line="259" w:lineRule="auto" w:after="60"/>
        <w:jc w:val="left"/>
      </w:pPr>
      <w:r>
        <w:rPr>
          <w:b/>
        </w:rPr>
        <w:t>Drohende Vertragsstrafe Siemens Mobility:</w:t>
      </w:r>
      <w:r>
        <w:t xml:space="preserve"> Ein Rahmenliefervertrag mit Siemens Mobility</w:t>
      </w:r>
    </w:p>
    <w:p>
      <w:pPr>
        <w:spacing w:line="259" w:lineRule="auto" w:after="60"/>
        <w:jc w:val="left"/>
      </w:pPr>
      <w:r>
        <w:t>GmbH über Präzisionsgussteile für Triebwerkskomponenten sieht eine Vertragsstrafe von bis zu</w:t>
      </w:r>
    </w:p>
    <w:p>
      <w:pPr>
        <w:spacing w:line="259" w:lineRule="auto" w:after="60"/>
        <w:jc w:val="left"/>
      </w:pPr>
      <w:r>
        <w:t>1,2 Mio. EUR vor bei Unterschreitung vereinbarter Liefertreue-KPIs (Pönale gemäß § 7 des</w:t>
      </w:r>
    </w:p>
    <w:p>
      <w:pPr>
        <w:spacing w:line="259" w:lineRule="auto" w:after="60"/>
        <w:jc w:val="left"/>
      </w:pPr>
      <w:r>
        <w:t>Rahmenliefervertrags vom 12.03.2021). Aufgrund von Materialengpässen und Produktionsausfällen</w:t>
      </w:r>
    </w:p>
    <w:p>
      <w:pPr>
        <w:spacing w:line="259" w:lineRule="auto" w:after="60"/>
        <w:jc w:val="left"/>
      </w:pPr>
      <w:r>
        <w:t>droht diese Vertragsstrafe ab Mai 2026 ausgelöst zu werden.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3.2 Auslöseereignis</w:t>
      </w:r>
    </w:p>
    <w:p>
      <w:pPr>
        <w:spacing w:line="259" w:lineRule="auto" w:after="60"/>
        <w:jc w:val="left"/>
      </w:pPr>
      <w:r>
        <w:rPr>
          <w:b/>
        </w:rPr>
        <w:t>15. April 2026:</w:t>
      </w:r>
      <w:r>
        <w:t xml:space="preserve"> Die Sparkasse Mittelthüringen teilte der Mandantin per Schreiben mit, dass</w:t>
      </w:r>
    </w:p>
    <w:p>
      <w:pPr>
        <w:spacing w:line="259" w:lineRule="auto" w:after="60"/>
        <w:jc w:val="left"/>
      </w:pPr>
      <w:r>
        <w:t>die Kontokorrentlinie (bislang 4,8 Mio. EUR) mit sofortiger Wirkung auf 2,0 Mio. EUR reduziert</w:t>
      </w:r>
    </w:p>
    <w:p>
      <w:pPr>
        <w:spacing w:line="259" w:lineRule="auto" w:after="60"/>
        <w:jc w:val="left"/>
      </w:pPr>
      <w:r>
        <w:t>wird. Begründung: Überschreitung der vereinbarten Verschuldungsquoten gemäß Kreditvertrag,</w:t>
      </w:r>
    </w:p>
    <w:p>
      <w:pPr>
        <w:spacing w:line="259" w:lineRule="auto" w:after="60"/>
        <w:jc w:val="left"/>
      </w:pPr>
      <w:r>
        <w:t>Vorlage des vorläufigen Jahresabschlusses 2025 mit negativem EBITDA.</w:t>
      </w:r>
    </w:p>
    <w:p>
      <w:pPr>
        <w:spacing w:line="259" w:lineRule="auto" w:after="60"/>
        <w:jc w:val="left"/>
      </w:pPr>
      <w:r>
        <w:t>Gleichzeitig gingen Mahnschreiben der Hauptlieferanten ein:</w:t>
      </w:r>
    </w:p>
    <w:p>
      <w:pPr>
        <w:pStyle w:val="ListBullet"/>
        <w:spacing w:line="259" w:lineRule="auto" w:after="60"/>
      </w:pPr>
      <w:r>
        <w:t>Aluminium Stade GmbH &amp; Co. KG: offene Verbindlichkeiten 890.000 EUR (Zahlungsziel</w:t>
      </w:r>
    </w:p>
    <w:p>
      <w:pPr>
        <w:spacing w:line="259" w:lineRule="auto" w:after="60"/>
        <w:jc w:val="left"/>
      </w:pPr>
      <w:r>
        <w:t>überschritten um 47 Tage)</w:t>
      </w:r>
    </w:p>
    <w:p>
      <w:pPr>
        <w:pStyle w:val="ListBullet"/>
        <w:spacing w:line="259" w:lineRule="auto" w:after="60"/>
      </w:pPr>
      <w:r>
        <w:t>Magnesium Manfred Voß KG: offene Verbindlichkeiten 340.000 EUR (Zahlungsziel überschritten</w:t>
      </w:r>
    </w:p>
    <w:p>
      <w:pPr>
        <w:spacing w:line="259" w:lineRule="auto" w:after="60"/>
        <w:jc w:val="left"/>
      </w:pPr>
      <w:r>
        <w:t>um 61 Tage)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Sofortmaßnahmen der Kanzlei (22.–30. April 2026)</w:t>
      </w:r>
    </w:p>
    <w:p>
      <w:pPr>
        <w:pStyle w:val="ListNumber"/>
        <w:spacing w:line="259" w:lineRule="auto" w:after="60"/>
      </w:pPr>
      <w:r>
        <w:t>Akteneinsicht Handelsregister und Gesellschaftsvertrag</w:t>
      </w:r>
    </w:p>
    <w:p>
      <w:pPr>
        <w:pStyle w:val="ListNumber"/>
        <w:spacing w:line="259" w:lineRule="auto" w:after="60"/>
      </w:pPr>
      <w:r>
        <w:t>Anforderung und Prüfung der Buchhaltungsunterlagen 2024/2025</w:t>
      </w:r>
    </w:p>
    <w:p>
      <w:pPr>
        <w:pStyle w:val="ListNumber"/>
        <w:spacing w:line="259" w:lineRule="auto" w:after="60"/>
      </w:pPr>
      <w:r>
        <w:t>Liquiditätsstatus-Erhebung (Ist-Liquidität, 13-Wochen-Planung)</w:t>
      </w:r>
    </w:p>
    <w:p>
      <w:pPr>
        <w:pStyle w:val="ListNumber"/>
        <w:spacing w:line="259" w:lineRule="auto" w:after="60"/>
      </w:pPr>
      <w:r>
        <w:t>Rechtliche Prüfung der Insolvenzantragspflicht (§§ 17–19 InsO)</w:t>
      </w:r>
    </w:p>
    <w:p>
      <w:pPr>
        <w:pStyle w:val="ListNumber"/>
        <w:spacing w:line="259" w:lineRule="auto" w:after="60"/>
      </w:pPr>
      <w:r>
        <w:t>Sicherung der Kreditlinie durch Verhandlung mit Sparkasse Mittelthüringen</w:t>
      </w:r>
    </w:p>
    <w:p>
      <w:pPr>
        <w:pStyle w:val="ListNumber"/>
        <w:spacing w:line="259" w:lineRule="auto" w:after="60"/>
      </w:pPr>
      <w:r>
        <w:t>Erstberatung Geschäftsführung zu Haftungsrisiken (§ 15a InsO, § 826 BGB)</w:t>
      </w:r>
    </w:p>
    <w:p>
      <w:pPr>
        <w:pStyle w:val="ListNumber"/>
        <w:spacing w:line="259" w:lineRule="auto" w:after="60"/>
      </w:pPr>
      <w:r>
        <w:t>Interne Prüfung der Gesellschafterdarlehenstilgung (Friedhelm Großbach, 18.01.2026)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Mandatsbedingungen</w:t>
      </w:r>
    </w:p>
    <w:p>
      <w:pPr>
        <w:pStyle w:val="ListBullet"/>
        <w:spacing w:line="259" w:lineRule="auto" w:after="60"/>
      </w:pPr>
      <w:r>
        <w:t>Honorar: Stundenhonorar 380 EUR/Stunde (RA Dr. Drosselberg), 220 EUR/Stunde (Associates)</w:t>
      </w:r>
    </w:p>
    <w:p>
      <w:pPr>
        <w:pStyle w:val="ListBullet"/>
        <w:spacing w:line="259" w:lineRule="auto" w:after="60"/>
      </w:pPr>
      <w:r>
        <w:t>Vorschuss: 50.000 EUR, fällig 25.04.2026</w:t>
      </w:r>
    </w:p>
    <w:p>
      <w:pPr>
        <w:pStyle w:val="ListBullet"/>
        <w:spacing w:line="259" w:lineRule="auto" w:after="60"/>
      </w:pPr>
      <w:r>
        <w:t>Haftungsbeschränkung: AGB der Kanzlei, Stand Januar 2026</w:t>
      </w:r>
    </w:p>
    <w:p>
      <w:pPr>
        <w:pStyle w:val="ListBullet"/>
        <w:spacing w:line="259" w:lineRule="auto" w:after="60"/>
      </w:pPr>
      <w:r>
        <w:t>Interessenkonfliktprüfung: keine Mandatsverhältnisse mit Sparkasse Mittelthüringen oder</w:t>
      </w:r>
    </w:p>
    <w:p>
      <w:pPr>
        <w:spacing w:line="259" w:lineRule="auto" w:after="60"/>
        <w:jc w:val="left"/>
      </w:pPr>
      <w:r>
        <w:t>den Lieferanten festgestellt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Erstellt: Drosselberg &amp; Partner Insolvenzrecht, Erfurt | April 2026</w:t>
      </w:r>
    </w:p>
    <w:p>
      <w:pPr>
        <w:spacing w:line="259" w:lineRule="auto" w:after="60"/>
        <w:jc w:val="left"/>
      </w:pPr>
      <w:r>
        <w:rPr>
          <w:i/>
        </w:rPr>
        <w:t>Dieses Dokument ist anwaltlich privilegiert und vertraulich zu behandeln.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