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02 – Erstberatungsnotiz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22. April 2026, 14:00–17:30 Uhr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Ort:</w:t>
      </w:r>
      <w:r>
        <w:rPr>
          <w:rFonts w:ascii="Times New Roman" w:hAnsi="Times New Roman"/>
          <w:b/>
          <w:sz w:val="22"/>
        </w:rPr>
        <w:t xml:space="preserve"> Kanzlei Drosselberg &amp; Partner, Juri-Gagarin-Ring 55, 99084 Erfurt</w:t>
      </w:r>
    </w:p>
    <w:p>
      <w:pPr>
        <w:spacing w:line="259" w:lineRule="auto" w:after="60"/>
        <w:jc w:val="left"/>
      </w:pPr>
      <w:r>
        <w:rPr>
          <w:b/>
        </w:rPr>
        <w:t>Teilnehmer Mandantseite:</w:t>
      </w:r>
      <w:r>
        <w:t xml:space="preserve"> Friedhelm Großbach (GF), Bertha Großbach-Riemenschneider (Junior-GF), Dipl.-Kfm. Rainer Pabst (Prokurist/Leiter Rechnungswesen)</w:t>
      </w:r>
    </w:p>
    <w:p>
      <w:pPr>
        <w:spacing w:line="259" w:lineRule="auto" w:after="60"/>
        <w:jc w:val="left"/>
      </w:pPr>
      <w:r>
        <w:rPr>
          <w:b/>
        </w:rPr>
        <w:t>Teilnehmer Kanzlei:</w:t>
      </w:r>
      <w:r>
        <w:t xml:space="preserve"> RA Dr. Maximilian Drosselberg, RAin Claudia Feuerbach (Associate)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Bearbeitung:</w:t>
      </w:r>
      <w:r>
        <w:rPr>
          <w:rFonts w:ascii="Times New Roman" w:hAnsi="Times New Roman"/>
          <w:b/>
          <w:sz w:val="22"/>
        </w:rPr>
        <w:t xml:space="preserve"> RAin Claudia Feuerbach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Klassifizierung:</w:t>
      </w:r>
      <w:r>
        <w:rPr>
          <w:rFonts w:ascii="Times New Roman" w:hAnsi="Times New Roman"/>
          <w:b/>
          <w:sz w:val="22"/>
        </w:rPr>
        <w:t xml:space="preserve"> Anwaltlich privilegiert – intern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1. Gesprächseröffnung und Überblick Krisenlage</w:t>
      </w:r>
    </w:p>
    <w:p>
      <w:pPr>
        <w:spacing w:line="259" w:lineRule="auto" w:after="60"/>
        <w:jc w:val="left"/>
      </w:pPr>
      <w:r>
        <w:t>Dr. Drosselberg eröffnete das Gespräch und dankte der Mandantin für das entgegengebrachte</w:t>
      </w:r>
    </w:p>
    <w:p>
      <w:pPr>
        <w:spacing w:line="259" w:lineRule="auto" w:after="60"/>
        <w:jc w:val="left"/>
      </w:pPr>
      <w:r>
        <w:t>Vertrauen. Er betonte die Vertraulichkeit des Mandatsverhältnisses und erläuterte</w:t>
      </w:r>
    </w:p>
    <w:p>
      <w:pPr>
        <w:spacing w:line="259" w:lineRule="auto" w:after="60"/>
        <w:jc w:val="left"/>
      </w:pPr>
      <w:r>
        <w:t>das anwaltliche Berufsgeheimnis.</w:t>
      </w:r>
    </w:p>
    <w:p>
      <w:pPr>
        <w:spacing w:line="259" w:lineRule="auto" w:after="60"/>
        <w:jc w:val="left"/>
      </w:pPr>
      <w:r>
        <w:t>Herr Friedhelm Großbach schilderte die Lage wie folgt (Zusammenfassung):</w:t>
      </w:r>
    </w:p>
    <w:p>
      <w:pPr>
        <w:spacing w:line="259" w:lineRule="auto" w:after="60"/>
        <w:ind w:left="567"/>
      </w:pPr>
      <w:r>
        <w:rPr>
          <w:i/>
        </w:rPr>
        <w:t>„Wir sind seit über 60 Jahren hier in Erfurt tätig. Mein Vater hat das Unternehmen 1962</w:t>
      </w:r>
    </w:p>
    <w:p>
      <w:pPr>
        <w:spacing w:line="259" w:lineRule="auto" w:after="60"/>
        <w:ind w:left="567"/>
      </w:pPr>
      <w:r>
        <w:rPr>
          <w:i/>
        </w:rPr>
        <w:t>gegründet, ich habe es 1988 übernommen. Wir haben Krisen überlebt – die Wende, die</w:t>
      </w:r>
    </w:p>
    <w:p>
      <w:pPr>
        <w:spacing w:line="259" w:lineRule="auto" w:after="60"/>
        <w:ind w:left="567"/>
      </w:pPr>
      <w:r>
        <w:rPr>
          <w:i/>
        </w:rPr>
        <w:t>Finanzkrise 2008. Aber diesmal ist es anders. Die Energie kostet uns fast das Dreifache</w:t>
      </w:r>
    </w:p>
    <w:p>
      <w:pPr>
        <w:spacing w:line="259" w:lineRule="auto" w:after="60"/>
        <w:ind w:left="567"/>
      </w:pPr>
      <w:r>
        <w:rPr>
          <w:i/>
        </w:rPr>
        <w:t>von 2021. Volkswagen Sachsen hat uns im Oktober 2023 mitgeteilt, dass sie ab 2025</w:t>
      </w:r>
    </w:p>
    <w:p>
      <w:pPr>
        <w:spacing w:line="259" w:lineRule="auto" w:after="60"/>
        <w:ind w:left="567"/>
      </w:pPr>
      <w:r>
        <w:rPr>
          <w:i/>
        </w:rPr>
        <w:t>schrittweise von Verbrennern wegkommen und unsere Teile nicht mehr so oft brauchen.</w:t>
      </w:r>
    </w:p>
    <w:p>
      <w:pPr>
        <w:spacing w:line="259" w:lineRule="auto" w:after="60"/>
        <w:ind w:left="567"/>
      </w:pPr>
      <w:r>
        <w:rPr>
          <w:i/>
        </w:rPr>
        <w:t>Wir hatten keine Zeit, uns anzupassen. Und jetzt kommt die Sparkasse und sagt, die Linie</w:t>
      </w:r>
    </w:p>
    <w:p>
      <w:pPr>
        <w:spacing w:line="259" w:lineRule="auto" w:after="60"/>
        <w:ind w:left="567"/>
      </w:pPr>
      <w:r>
        <w:rPr>
          <w:i/>
        </w:rPr>
        <w:t>ist weg. Das ist der Tropfen, der das Fass zum Überlaufen gebracht hat."</w:t>
      </w:r>
    </w:p>
    <w:p>
      <w:pPr>
        <w:spacing w:line="259" w:lineRule="auto" w:after="60"/>
        <w:jc w:val="left"/>
      </w:pPr>
      <w:r>
        <w:t>Bertha Großbach-Riemenschneider ergänzte, dass sie seit ihrer Berufung zur Mitgeschäftsführerin</w:t>
      </w:r>
    </w:p>
    <w:p>
      <w:pPr>
        <w:spacing w:line="259" w:lineRule="auto" w:after="60"/>
        <w:jc w:val="left"/>
      </w:pPr>
      <w:r>
        <w:t>im Jahr 2022 versuche, das Unternehmen in Richtung neuer Märkte zu diversifizieren, aber die</w:t>
      </w:r>
    </w:p>
    <w:p>
      <w:pPr>
        <w:spacing w:line="259" w:lineRule="auto" w:after="60"/>
        <w:jc w:val="left"/>
      </w:pPr>
      <w:r>
        <w:t>Umstrukturierung der Produktionsanlagen sei kapitalintensiv und die Banken hätten keine neuen</w:t>
      </w:r>
    </w:p>
    <w:p>
      <w:pPr>
        <w:spacing w:line="259" w:lineRule="auto" w:after="60"/>
        <w:jc w:val="left"/>
      </w:pPr>
      <w:r>
        <w:t>Mittel bereitgestellt.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Finanzielle Lage (Stand 22. April 2026)</w:t>
      </w:r>
    </w:p>
    <w:p>
      <w:pPr>
        <w:spacing w:line="259" w:lineRule="auto" w:after="60"/>
        <w:jc w:val="left"/>
      </w:pPr>
      <w:r>
        <w:t>Dipl.-Kfm. Pabst überreichte folgende Unterlagen:</w:t>
      </w:r>
    </w:p>
    <w:p>
      <w:pPr>
        <w:pStyle w:val="ListBullet"/>
        <w:spacing w:line="259" w:lineRule="auto" w:after="60"/>
      </w:pPr>
      <w:r>
        <w:t>Vorläufiger Jahresabschluss 2025 (ungeprüft)</w:t>
      </w:r>
    </w:p>
    <w:p>
      <w:pPr>
        <w:pStyle w:val="ListBullet"/>
        <w:spacing w:line="259" w:lineRule="auto" w:after="60"/>
      </w:pPr>
      <w:r>
        <w:t>Kontoauszüge per 21. April 2026</w:t>
      </w:r>
    </w:p>
    <w:p>
      <w:pPr>
        <w:pStyle w:val="ListBullet"/>
        <w:spacing w:line="259" w:lineRule="auto" w:after="60"/>
      </w:pPr>
      <w:r>
        <w:t>Offene-Posten-Liste (Verbindlichkeiten)</w:t>
      </w:r>
    </w:p>
    <w:p>
      <w:pPr>
        <w:pStyle w:val="ListBullet"/>
        <w:spacing w:line="259" w:lineRule="auto" w:after="60"/>
      </w:pPr>
      <w:r>
        <w:t>Aktuelle Auftragsübersicht</w:t>
      </w:r>
    </w:p>
    <w:p>
      <w:pPr>
        <w:spacing w:line="259" w:lineRule="auto" w:after="60"/>
        <w:jc w:val="left"/>
      </w:pPr>
      <w:r>
        <w:rPr>
          <w:b/>
        </w:rPr>
        <w:t>Liquiditätsstatus per 21. April 2026 (Kurzfassung):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Guthaben Girokonto (Sparkasse Mittelthüringen)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187.420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Guthaben Girokonto (Commerzbank)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43.100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Verfügbarer KK-Rahmen (nach Kürzung auf 2 Mio.)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Fällige Verbindlichkeiten (bis 30.04.2026)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1.487.000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Davon: Löhne und Gehälter April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623.000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Davon: Aluminium Stade (Mahnung)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890.000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Davon: Sonstige kurzfristige 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(260.000)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Unterdeckung (kurzfristig)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-944.480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Ergebnis:</w:t>
      </w:r>
      <w:r>
        <w:t xml:space="preserve"> Die KG kann ihre kurzfälligen Verbindlichkeiten zum 30.04.2026 nicht vollständig</w:t>
      </w:r>
    </w:p>
    <w:p>
      <w:pPr>
        <w:spacing w:line="259" w:lineRule="auto" w:after="60"/>
        <w:jc w:val="left"/>
      </w:pPr>
      <w:r>
        <w:t>bedienen. Drohende Zahlungsunfähigkeit gemäß § 18 InsO liegt nach erster Einschätzung vor.</w:t>
      </w:r>
    </w:p>
    <w:p>
      <w:pPr>
        <w:spacing w:line="259" w:lineRule="auto" w:after="60"/>
        <w:jc w:val="left"/>
      </w:pPr>
      <w:r>
        <w:t>Eine tatsächliche Zahlungsunfähigkeit gemäß § 17 InsO ist noch nicht eingetreten, kann aber</w:t>
      </w:r>
    </w:p>
    <w:p>
      <w:pPr>
        <w:spacing w:line="259" w:lineRule="auto" w:after="60"/>
        <w:jc w:val="left"/>
      </w:pPr>
      <w:r>
        <w:t>binnen weniger Wochen eintreten (kritische Schwelle: ca. 10 % der Gesamtverbindlichkeiten</w:t>
      </w:r>
    </w:p>
    <w:p>
      <w:pPr>
        <w:spacing w:line="259" w:lineRule="auto" w:after="60"/>
        <w:jc w:val="left"/>
      </w:pPr>
      <w:r>
        <w:t>dauerhaft nicht erfüllbar).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Rechtliche Ersteinschätzung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Insolvenzantragspflicht</w:t>
      </w:r>
    </w:p>
    <w:p>
      <w:pPr>
        <w:spacing w:line="259" w:lineRule="auto" w:after="60"/>
        <w:jc w:val="left"/>
      </w:pPr>
      <w:r>
        <w:t>Dr. Drosselberg wies auf die Insolvenzantragspflicht gemäß § 15a InsO hin: Bei juristischen</w:t>
      </w:r>
    </w:p>
    <w:p>
      <w:pPr>
        <w:spacing w:line="259" w:lineRule="auto" w:after="60"/>
        <w:jc w:val="left"/>
      </w:pPr>
      <w:r>
        <w:t>Personen (hier: Komplementär-GmbH) sind die Geschäftsführer ohne schuldhaftes Zögern,</w:t>
      </w:r>
    </w:p>
    <w:p>
      <w:pPr>
        <w:spacing w:line="259" w:lineRule="auto" w:after="60"/>
        <w:jc w:val="left"/>
      </w:pPr>
      <w:r>
        <w:t>spätestens binnen drei Wochen nach Eintritt der Zahlungsunfähigkeit (§ 17 InsO) bzw.</w:t>
      </w:r>
    </w:p>
    <w:p>
      <w:pPr>
        <w:spacing w:line="259" w:lineRule="auto" w:after="60"/>
        <w:jc w:val="left"/>
      </w:pPr>
      <w:r>
        <w:t>sechs Wochen nach Eintritt der Überschuldung (§ 19 InsO) verpflichtet, Insolvenzantrag zu</w:t>
      </w:r>
    </w:p>
    <w:p>
      <w:pPr>
        <w:spacing w:line="259" w:lineRule="auto" w:after="60"/>
        <w:jc w:val="left"/>
      </w:pPr>
      <w:r>
        <w:t>stellen. Da derzeit noch keine vollständige Zahlungsunfähigkeit vorliegt, besteht noch Handlungsspielraum.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3.2 Handlungsoptionen</w:t>
      </w:r>
    </w:p>
    <w:p>
      <w:pPr>
        <w:spacing w:line="259" w:lineRule="auto" w:after="60"/>
        <w:jc w:val="left"/>
      </w:pPr>
      <w:r>
        <w:t>Dr. Drosselberg erläuterte drei Handlungsszenarien:</w:t>
      </w:r>
    </w:p>
    <w:p>
      <w:pPr>
        <w:spacing w:line="259" w:lineRule="auto" w:after="60"/>
        <w:jc w:val="left"/>
      </w:pPr>
      <w:r>
        <w:rPr>
          <w:b/>
        </w:rPr>
        <w:t>Option A – Schutzschirmverfahren (§ 270d InsO):</w:t>
      </w:r>
    </w:p>
    <w:p>
      <w:pPr>
        <w:spacing w:line="259" w:lineRule="auto" w:after="60"/>
        <w:jc w:val="left"/>
      </w:pPr>
      <w:r>
        <w:t>Der Schuldner kann unter Eigenverwaltung mit Schutzschirm einen Insolvenzplan erarbeiten.</w:t>
      </w:r>
    </w:p>
    <w:p>
      <w:pPr>
        <w:spacing w:line="259" w:lineRule="auto" w:after="60"/>
        <w:jc w:val="left"/>
      </w:pPr>
      <w:r>
        <w:t>Voraussetzung: Drohende Zahlungsunfähigkeit (§ 18 InsO) oder Überschuldung (§ 19 InsO),</w:t>
      </w:r>
    </w:p>
    <w:p>
      <w:pPr>
        <w:spacing w:line="259" w:lineRule="auto" w:after="60"/>
        <w:jc w:val="left"/>
      </w:pPr>
      <w:r>
        <w:t>aber noch keine eingetretene Zahlungsunfähigkeit. Vorteil: Schuldner bleibt handlungsfähig</w:t>
      </w:r>
    </w:p>
    <w:p>
      <w:pPr>
        <w:spacing w:line="259" w:lineRule="auto" w:after="60"/>
        <w:jc w:val="left"/>
      </w:pPr>
      <w:r>
        <w:t>unter Aufsicht eines Sachwalters, Moratorium gegenüber vollstreckenden Gläubigern,</w:t>
      </w:r>
    </w:p>
    <w:p>
      <w:pPr>
        <w:spacing w:line="259" w:lineRule="auto" w:after="60"/>
        <w:jc w:val="left"/>
      </w:pPr>
      <w:r>
        <w:t>bis zu drei Monate Zeit zur Planentwicklung.</w:t>
      </w:r>
    </w:p>
    <w:p>
      <w:pPr>
        <w:spacing w:line="259" w:lineRule="auto" w:after="60"/>
        <w:jc w:val="left"/>
      </w:pPr>
      <w:r>
        <w:rPr>
          <w:b/>
        </w:rPr>
        <w:t>Option B – StaRUG-Verfahren:</w:t>
      </w:r>
    </w:p>
    <w:p>
      <w:pPr>
        <w:spacing w:line="259" w:lineRule="auto" w:after="60"/>
        <w:jc w:val="left"/>
      </w:pPr>
      <w:r>
        <w:t>Außergerichtliches Restrukturierungsverfahren ohne förmliche Insolvenz. Ermöglicht</w:t>
      </w:r>
    </w:p>
    <w:p>
      <w:pPr>
        <w:spacing w:line="259" w:lineRule="auto" w:after="60"/>
        <w:jc w:val="left"/>
      </w:pPr>
      <w:r>
        <w:t>die gezielte Anpassung von Forderungen einzelner Gläubigergruppen. Voraussetzung:</w:t>
      </w:r>
    </w:p>
    <w:p>
      <w:pPr>
        <w:spacing w:line="259" w:lineRule="auto" w:after="60"/>
        <w:jc w:val="left"/>
      </w:pPr>
      <w:r>
        <w:t>Drohende Zahlungsunfähigkeit (§ 32 StaRUG). Vorteil: Geringere Stigmatisierung,</w:t>
      </w:r>
    </w:p>
    <w:p>
      <w:pPr>
        <w:spacing w:line="259" w:lineRule="auto" w:after="60"/>
        <w:jc w:val="left"/>
      </w:pPr>
      <w:r>
        <w:t>keine öffentliche Bekanntmachung erforderlich (ausgenommen bestimmte Stabilisierungsanordnungen).</w:t>
      </w:r>
    </w:p>
    <w:p>
      <w:pPr>
        <w:spacing w:line="259" w:lineRule="auto" w:after="60"/>
        <w:jc w:val="left"/>
      </w:pPr>
      <w:r>
        <w:rPr>
          <w:b/>
        </w:rPr>
        <w:t>Option C – Außergerichtliche Sanierung:</w:t>
      </w:r>
    </w:p>
    <w:p>
      <w:pPr>
        <w:spacing w:line="259" w:lineRule="auto" w:after="60"/>
        <w:jc w:val="left"/>
      </w:pPr>
      <w:r>
        <w:t>Einigung mit Hauptgläubigern ohne Gerichtsbeteiligung. Nur realistisch, wenn alle</w:t>
      </w:r>
    </w:p>
    <w:p>
      <w:pPr>
        <w:spacing w:line="259" w:lineRule="auto" w:after="60"/>
        <w:jc w:val="left"/>
      </w:pPr>
      <w:r>
        <w:t>wesentlichen Gläubiger kooperieren. Angesichts der angespannten Beziehung mit Magnesium</w:t>
      </w:r>
    </w:p>
    <w:p>
      <w:pPr>
        <w:spacing w:line="259" w:lineRule="auto" w:after="60"/>
        <w:jc w:val="left"/>
      </w:pPr>
      <w:r>
        <w:t>Voß und der Haltung der Sparkasse derzeit unwahrscheinlich.</w:t>
      </w:r>
    </w:p>
    <w:p>
      <w:pPr>
        <w:spacing w:line="259" w:lineRule="auto" w:after="60"/>
        <w:jc w:val="left"/>
      </w:pPr>
      <w:r>
        <w:rPr>
          <w:b/>
        </w:rPr>
        <w:t>Empfehlung Drosselberg:</w:t>
      </w:r>
      <w:r>
        <w:t xml:space="preserve"> Parallele Vorbereitung von Option A und B. Zunächst intensive</w:t>
      </w:r>
    </w:p>
    <w:p>
      <w:pPr>
        <w:spacing w:line="259" w:lineRule="auto" w:after="60"/>
        <w:jc w:val="left"/>
      </w:pPr>
      <w:r>
        <w:t>Verhandlungen mit Sparkasse Mittelthüringen innerhalb der nächsten zwei Wochen. Falls keine</w:t>
      </w:r>
    </w:p>
    <w:p>
      <w:pPr>
        <w:spacing w:line="259" w:lineRule="auto" w:after="60"/>
        <w:jc w:val="left"/>
      </w:pPr>
      <w:r>
        <w:t>Einigung, Einreichung des Schutzschirmantrags beim AG Erfurt.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Gesellschafterdarlehen – Erster Hinweis</w:t>
      </w:r>
    </w:p>
    <w:p>
      <w:pPr>
        <w:spacing w:line="259" w:lineRule="auto" w:after="60"/>
        <w:jc w:val="left"/>
      </w:pPr>
      <w:r>
        <w:t>Auf Nachfrage von Dr. Drosselberg räumte Friedhelm Großbach ein, dass er der KG im Jahr 2020</w:t>
      </w:r>
    </w:p>
    <w:p>
      <w:pPr>
        <w:spacing w:line="259" w:lineRule="auto" w:after="60"/>
        <w:jc w:val="left"/>
      </w:pPr>
      <w:r>
        <w:t>ein Darlehen über 600.000 EUR gewährt habe. Dieses Darlehen sei im Januar 2026 zu einem</w:t>
      </w:r>
    </w:p>
    <w:p>
      <w:pPr>
        <w:spacing w:line="259" w:lineRule="auto" w:after="60"/>
        <w:jc w:val="left"/>
      </w:pPr>
      <w:r>
        <w:t>erheblichen Teil zurückgezahlt worden:</w:t>
      </w:r>
    </w:p>
    <w:p>
      <w:pPr>
        <w:spacing w:line="259" w:lineRule="auto" w:after="60"/>
        <w:ind w:left="567"/>
      </w:pPr>
      <w:r>
        <w:rPr>
          <w:i/>
        </w:rPr>
        <w:t>„Ich hab im Januar 380.000 EUR zurückbekommen. Das war noch vor dem ganzen Ärger mit der</w:t>
      </w:r>
    </w:p>
    <w:p>
      <w:pPr>
        <w:spacing w:line="259" w:lineRule="auto" w:after="60"/>
        <w:ind w:left="567"/>
      </w:pPr>
      <w:r>
        <w:rPr>
          <w:i/>
        </w:rPr>
        <w:t>Sparkasse. Ich wusste nicht, dass das ein Problem sein könnte."</w:t>
      </w:r>
    </w:p>
    <w:p>
      <w:pPr>
        <w:spacing w:line="259" w:lineRule="auto" w:after="60"/>
        <w:jc w:val="left"/>
      </w:pPr>
      <w:r>
        <w:t xml:space="preserve">Dr. Drosselberg notierte diesen Sachverhalt als </w:t>
      </w:r>
      <w:r>
        <w:rPr>
          <w:b/>
        </w:rPr>
        <w:t>dringend prüfungsbedürftig</w:t>
      </w:r>
      <w:r>
        <w:t xml:space="preserve"> im Hinblick</w:t>
      </w:r>
    </w:p>
    <w:p>
      <w:pPr>
        <w:spacing w:line="259" w:lineRule="auto" w:after="60"/>
        <w:jc w:val="left"/>
      </w:pPr>
      <w:r>
        <w:t>auf § 133 InsO (Vorsatzanfechtung) und § 135 InsO (Gesellschafterdarlehen). Einzelheiten</w:t>
      </w:r>
    </w:p>
    <w:p>
      <w:pPr>
        <w:spacing w:line="259" w:lineRule="auto" w:after="60"/>
        <w:jc w:val="left"/>
      </w:pPr>
      <w:r>
        <w:t>werden in gesondertem Aktenstück dokumentiert (Aktenstück 09/20).</w:t>
      </w:r>
    </w:p>
    <w:p>
      <w:pPr>
        <w:spacing w:line="259" w:lineRule="auto" w:after="60"/>
        <w:jc w:val="left"/>
      </w:pPr>
      <w:r>
        <w:t>Ferner erwähnte Bertha Großbach-Riemenschneider, dass sie im Februar 2026 eine vertraglich</w:t>
      </w:r>
    </w:p>
    <w:p>
      <w:pPr>
        <w:spacing w:line="259" w:lineRule="auto" w:after="60"/>
        <w:jc w:val="left"/>
      </w:pPr>
      <w:r>
        <w:t>vereinbarte Bonuszahlung von 22.000 EUR erhalten habe. Auch dies wurde als</w:t>
      </w:r>
    </w:p>
    <w:p>
      <w:pPr>
        <w:spacing w:line="259" w:lineRule="auto" w:after="60"/>
        <w:jc w:val="left"/>
      </w:pPr>
      <w:r>
        <w:t>anfechtungsrelevant vorgemerkt.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Bitvavo-Wallet (Bitcoin)</w:t>
      </w:r>
    </w:p>
    <w:p>
      <w:pPr>
        <w:spacing w:line="259" w:lineRule="auto" w:after="60"/>
        <w:jc w:val="left"/>
      </w:pPr>
      <w:r>
        <w:t>Dipl.-Kfm. Pabst erwähnte auf Nachfrage, dass Friedhelm Großbach im Jahr 2022 auf</w:t>
      </w:r>
    </w:p>
    <w:p>
      <w:pPr>
        <w:spacing w:line="259" w:lineRule="auto" w:after="60"/>
        <w:jc w:val="left"/>
      </w:pPr>
      <w:r>
        <w:t>Anraten eines Vermögensberaters 8 BTC als „Inflations-Hedge" erworben habe. Diese Bitcoin</w:t>
      </w:r>
    </w:p>
    <w:p>
      <w:pPr>
        <w:spacing w:line="259" w:lineRule="auto" w:after="60"/>
        <w:jc w:val="left"/>
      </w:pPr>
      <w:r>
        <w:t>befinden sich auf einer persönlichen Bitvavo-Wallet von Herrn Großbach. Aktueller Marktwert</w:t>
      </w:r>
    </w:p>
    <w:p>
      <w:pPr>
        <w:spacing w:line="259" w:lineRule="auto" w:after="60"/>
        <w:jc w:val="left"/>
      </w:pPr>
      <w:r>
        <w:t>(22. April 2026): ca. 76.500 EUR/BTC × 8 = ca. 612.000 EUR.</w:t>
      </w:r>
    </w:p>
    <w:p>
      <w:pPr>
        <w:spacing w:line="259" w:lineRule="auto" w:after="60"/>
        <w:jc w:val="left"/>
      </w:pPr>
      <w:r>
        <w:t>Dr. Drosselberg wies darauf hin, dass im Falle eines förmlichen Insolvenzverfahrens</w:t>
      </w:r>
    </w:p>
    <w:p>
      <w:pPr>
        <w:spacing w:line="259" w:lineRule="auto" w:after="60"/>
        <w:jc w:val="left"/>
      </w:pPr>
      <w:r>
        <w:t>geprüft werden müsse, ob diese Assets zur Insolvenzmasse gehören, insbesondere wenn die</w:t>
      </w:r>
    </w:p>
    <w:p>
      <w:pPr>
        <w:spacing w:line="259" w:lineRule="auto" w:after="60"/>
        <w:jc w:val="left"/>
      </w:pPr>
      <w:r>
        <w:t>Bitcoin-Anschaffung aus Mitteln der KG finanziert worden sei oder andere Anknüpfungspunkte</w:t>
      </w:r>
    </w:p>
    <w:p>
      <w:pPr>
        <w:spacing w:line="259" w:lineRule="auto" w:after="60"/>
        <w:jc w:val="left"/>
      </w:pPr>
      <w:r>
        <w:t>zur Masse bestünden.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Nächste Schritte (bis 06.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Übergabe aller Buchhaltungsunterlagen 2024/2025 an 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Pabst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Anfordern IDW-S-6-fähiger Steuerberaterberichte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Pabst/GF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Verhandlungsgespräch Sparkasse (Termin anfragen)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Rückzahlung Gesellschafterdarlehen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Drosselberg/Feuerbach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Liquiditätsplan 13-Wochen erstellen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Pabst + 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Sachwaltervorschlag vorbereiten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Notiz erstellt von: RAin Claudia Feuerbach, Drosselberg &amp; Partner, Erfurt</w:t>
      </w:r>
    </w:p>
    <w:p>
      <w:pPr>
        <w:spacing w:line="259" w:lineRule="auto" w:after="60"/>
        <w:jc w:val="left"/>
      </w:pPr>
      <w:r>
        <w:rPr>
          <w:i/>
        </w:rPr>
        <w:t>Datum: 22. April 2026</w:t>
      </w:r>
    </w:p>
    <w:p>
      <w:pPr>
        <w:spacing w:line="259" w:lineRule="auto" w:after="60"/>
        <w:jc w:val="left"/>
      </w:pPr>
      <w:r>
        <w:rPr>
          <w:i/>
        </w:rPr>
        <w:t>Diese Erstberatungsnotiz ist vertraulich und unterliegt dem anwaltlichen Berufsgeheimnis.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