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04 – IDW S 6 – Sanierungskonzept (Bericht-Auszug)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Auftraggeber:</w:t>
      </w:r>
      <w:r>
        <w:rPr>
          <w:rFonts w:ascii="Times New Roman" w:hAnsi="Times New Roman"/>
          <w:b/>
          <w:sz w:val="22"/>
        </w:rPr>
        <w:t xml:space="preserve"> Großbach Druckguss &amp; Präzision GmbH &amp; Co. KG</w:t>
      </w:r>
    </w:p>
    <w:p>
      <w:pPr>
        <w:spacing w:line="259" w:lineRule="auto" w:after="60"/>
        <w:jc w:val="left"/>
      </w:pPr>
      <w:r>
        <w:rPr>
          <w:b/>
        </w:rPr>
        <w:t>Erstellt durch:</w:t>
      </w:r>
      <w:r>
        <w:t xml:space="preserve"> Drosselberg &amp; Partner Insolvenzrecht i.V.m. WSP Wirtschaftsprüfung Erfurt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02. Mai 2026</w:t>
      </w:r>
    </w:p>
    <w:p>
      <w:pPr>
        <w:spacing w:line="259" w:lineRule="auto" w:after="60"/>
        <w:jc w:val="left"/>
      </w:pPr>
      <w:r>
        <w:rPr>
          <w:b/>
        </w:rPr>
        <w:t>Standard:</w:t>
      </w:r>
      <w:r>
        <w:t xml:space="preserve"> IDW Standard: Anforderungen an Sanierungskonzepte (IDW S 6), Stand 16.09.2022</w:t>
      </w:r>
    </w:p>
    <w:p>
      <w:pPr>
        <w:spacing w:line="259" w:lineRule="auto" w:after="60"/>
        <w:jc w:val="left"/>
      </w:pPr>
      <w:r>
        <w:rPr>
          <w:b/>
        </w:rPr>
        <w:t>Verwendungszweck:</w:t>
      </w:r>
      <w:r>
        <w:t xml:space="preserve"> Anlage zum Schutzschirmantrag § 270d InsO, AG Erfurt, 203 IN 71/26 SA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Vorbemerkung</w:t>
      </w:r>
    </w:p>
    <w:p>
      <w:pPr>
        <w:spacing w:line="259" w:lineRule="auto" w:after="60"/>
        <w:jc w:val="left"/>
      </w:pPr>
      <w:r>
        <w:t xml:space="preserve">Der vorliegende Bericht stellt einen </w:t>
      </w:r>
      <w:r>
        <w:rPr>
          <w:b/>
        </w:rPr>
        <w:t>Auszug</w:t>
      </w:r>
      <w:r>
        <w:t xml:space="preserve"> des vollständigen Sanierungskonzepts nach</w:t>
      </w:r>
    </w:p>
    <w:p>
      <w:pPr>
        <w:spacing w:line="259" w:lineRule="auto" w:after="60"/>
        <w:jc w:val="left"/>
      </w:pPr>
      <w:r>
        <w:t>IDW S 6 dar. Er enthält die für das Schutzschirmverfahren relevanten Teile, insbesondere die</w:t>
      </w:r>
    </w:p>
    <w:p>
      <w:pPr>
        <w:spacing w:line="259" w:lineRule="auto" w:after="60"/>
        <w:jc w:val="left"/>
      </w:pPr>
      <w:r>
        <w:t>Feststellungen zur Sanierungsfähigkeit und die wesentlichen Sanierungsmaßnahmen.</w:t>
      </w:r>
    </w:p>
    <w:p>
      <w:pPr>
        <w:spacing w:line="259" w:lineRule="auto" w:after="60"/>
        <w:jc w:val="left"/>
      </w:pPr>
      <w:r>
        <w:t>Das vollständige Gutachten umfasst 87 Seiten nebst Anlagen und steht dem Gericht und dem</w:t>
      </w:r>
    </w:p>
    <w:p>
      <w:pPr>
        <w:spacing w:line="259" w:lineRule="auto" w:after="60"/>
        <w:jc w:val="left"/>
      </w:pPr>
      <w:r>
        <w:t>Sachwalter auf Anforderung vollständig zur Verfügung.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1. Auftragsumfang und Vorgehensweise (IDW S 6, Abschn. 2)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1.1 Auftrag</w:t>
      </w:r>
    </w:p>
    <w:p>
      <w:pPr>
        <w:spacing w:line="259" w:lineRule="auto" w:after="60"/>
        <w:jc w:val="left"/>
      </w:pPr>
      <w:r>
        <w:t>Drosselberg &amp; Partner Insolvenzrecht wurde am 22. April 2026 von der Mandantin beauftragt,</w:t>
      </w:r>
    </w:p>
    <w:p>
      <w:pPr>
        <w:spacing w:line="259" w:lineRule="auto" w:after="60"/>
        <w:jc w:val="left"/>
      </w:pPr>
      <w:r>
        <w:t>ein Sanierungskonzept gemäß IDW S 6 zu erstellen. Die wirtschaftsprüferischen Teile</w:t>
      </w:r>
    </w:p>
    <w:p>
      <w:pPr>
        <w:spacing w:line="259" w:lineRule="auto" w:after="60"/>
        <w:jc w:val="left"/>
      </w:pPr>
      <w:r>
        <w:t>(Jahresabschlussanalyse, integrierte Planung) wurden durch WSP Wirtschaftsprüfung Erfurt GmbH</w:t>
      </w:r>
    </w:p>
    <w:p>
      <w:pPr>
        <w:spacing w:line="259" w:lineRule="auto" w:after="60"/>
        <w:jc w:val="left"/>
      </w:pPr>
      <w:r>
        <w:t>(WP Hans-Dieter Kleemann) durchgeführt.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1.2 Unterlagen</w:t>
      </w:r>
    </w:p>
    <w:p>
      <w:pPr>
        <w:spacing w:line="259" w:lineRule="auto" w:after="60"/>
        <w:jc w:val="left"/>
      </w:pPr>
      <w:r>
        <w:t>Folgende Unterlagen wurden zur Verfügung gestellt und ausgewertet:</w:t>
      </w:r>
    </w:p>
    <w:p>
      <w:pPr>
        <w:pStyle w:val="ListBullet"/>
        <w:spacing w:line="259" w:lineRule="auto" w:after="60"/>
      </w:pPr>
      <w:r>
        <w:t>Jahresabschlüsse 2021–2024 (geprüft durch Steuerberatungsgesellschaft Rohland &amp; Schüßler)</w:t>
      </w:r>
    </w:p>
    <w:p>
      <w:pPr>
        <w:pStyle w:val="ListBullet"/>
        <w:spacing w:line="259" w:lineRule="auto" w:after="60"/>
      </w:pPr>
      <w:r>
        <w:t>Vorläufiger Jahresabschluss 2025 (ungeprüft, Management-Fassung)</w:t>
      </w:r>
    </w:p>
    <w:p>
      <w:pPr>
        <w:pStyle w:val="ListBullet"/>
        <w:spacing w:line="259" w:lineRule="auto" w:after="60"/>
      </w:pPr>
      <w:r>
        <w:t>BWA Januar–März 2026</w:t>
      </w:r>
    </w:p>
    <w:p>
      <w:pPr>
        <w:pStyle w:val="ListBullet"/>
        <w:spacing w:line="259" w:lineRule="auto" w:after="60"/>
      </w:pPr>
      <w:r>
        <w:t>Kontoauszüge und Kreditunterlagen</w:t>
      </w:r>
    </w:p>
    <w:p>
      <w:pPr>
        <w:pStyle w:val="ListBullet"/>
        <w:spacing w:line="259" w:lineRule="auto" w:after="60"/>
      </w:pPr>
      <w:r>
        <w:t>Rahmenlieferverträge mit VW Sachsen, MAN Steyr, ZF Sachsen, Siemens Mobility</w:t>
      </w:r>
    </w:p>
    <w:p>
      <w:pPr>
        <w:pStyle w:val="ListBullet"/>
        <w:spacing w:line="259" w:lineRule="auto" w:after="60"/>
      </w:pPr>
      <w:r>
        <w:t>Organigramm und Personalplanung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1.3 Vorgehensweise</w:t>
      </w:r>
    </w:p>
    <w:p>
      <w:pPr>
        <w:pStyle w:val="ListBullet"/>
        <w:spacing w:line="259" w:lineRule="auto" w:after="60"/>
      </w:pPr>
      <w:r>
        <w:t>Befragung der Geschäftsführung (22. April 2026)</w:t>
      </w:r>
    </w:p>
    <w:p>
      <w:pPr>
        <w:pStyle w:val="ListBullet"/>
        <w:spacing w:line="259" w:lineRule="auto" w:after="60"/>
      </w:pPr>
      <w:r>
        <w:t>Analyse der Jahresabschlüsse 2021–2025 (Trend- und Kennzahlenanalyse)</w:t>
      </w:r>
    </w:p>
    <w:p>
      <w:pPr>
        <w:pStyle w:val="ListBullet"/>
        <w:spacing w:line="259" w:lineRule="auto" w:after="60"/>
      </w:pPr>
      <w:r>
        <w:t>Erstellung eines integrierten Finanzplans (GuV, Bilanz, Liquidität, 3 Szenarien)</w:t>
      </w:r>
    </w:p>
    <w:p>
      <w:pPr>
        <w:pStyle w:val="ListBullet"/>
        <w:spacing w:line="259" w:lineRule="auto" w:after="60"/>
      </w:pPr>
      <w:r>
        <w:t>Branchenvergleich und Krisenursachenanalyse</w:t>
      </w:r>
    </w:p>
    <w:p>
      <w:pPr>
        <w:pStyle w:val="ListBullet"/>
        <w:spacing w:line="259" w:lineRule="auto" w:after="60"/>
      </w:pPr>
      <w:r>
        <w:t>Identifikation und Bewertung von Sanierungsmaßnahmen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Darstellung des Unternehmens (IDW S 6, Abschn. 3)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Unternehmensprofil</w:t>
      </w:r>
    </w:p>
    <w:p>
      <w:pPr>
        <w:spacing w:line="259" w:lineRule="auto" w:after="60"/>
        <w:jc w:val="left"/>
      </w:pPr>
      <w:r>
        <w:t>Die Großbach Druckguss &amp; Präzision GmbH &amp; Co. KG ist ein mittelständischer Hersteller von</w:t>
      </w:r>
    </w:p>
    <w:p>
      <w:pPr>
        <w:spacing w:line="259" w:lineRule="auto" w:after="60"/>
        <w:jc w:val="left"/>
      </w:pPr>
      <w:r>
        <w:t>Präzisions-Druckgussteilen aus Aluminium- und Magnesiumlegierungen mit Sitz in Erfurt.</w:t>
      </w:r>
    </w:p>
    <w:p>
      <w:pPr>
        <w:spacing w:line="259" w:lineRule="auto" w:after="60"/>
        <w:jc w:val="left"/>
      </w:pPr>
      <w:r>
        <w:t>Das Unternehmen bedient in erster Linie die Automobilzulieferindustrie sowie den Maschinenbau.</w:t>
      </w:r>
    </w:p>
    <w:p>
      <w:pPr>
        <w:spacing w:line="259" w:lineRule="auto" w:after="60"/>
        <w:jc w:val="left"/>
      </w:pPr>
      <w:r>
        <w:rPr>
          <w:b/>
        </w:rPr>
        <w:t>Kerndaten: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2025 (vorl.)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Umsatz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43,1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45,8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47,2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39,8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31,4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EBITDA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3,9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3,6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-1,4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EBITDA-Marge (%)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9,7 %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8,5 %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7,6 %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2,0 %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-4,5 %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Eigenkapital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7,9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6,4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4,2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Nettoverschuldung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7,1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9,7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11,3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Mitarbeiter (Ø)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187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2.2 Krisenursachen (IDW S 6, Abschn. 3.4)</w:t>
      </w:r>
    </w:p>
    <w:p>
      <w:pPr>
        <w:spacing w:line="259" w:lineRule="auto" w:after="60"/>
        <w:jc w:val="left"/>
      </w:pPr>
      <w:r>
        <w:rPr>
          <w:b/>
        </w:rPr>
        <w:t>Stagflations- und Energiekrise (exogen):</w:t>
      </w:r>
    </w:p>
    <w:p>
      <w:pPr>
        <w:spacing w:line="259" w:lineRule="auto" w:after="60"/>
        <w:jc w:val="left"/>
      </w:pPr>
      <w:r>
        <w:t>Der Anstieg der Gaspreise und Strompreise seit 2021 hat die variablen Produktionskosten</w:t>
      </w:r>
    </w:p>
    <w:p>
      <w:pPr>
        <w:spacing w:line="259" w:lineRule="auto" w:after="60"/>
        <w:jc w:val="left"/>
      </w:pPr>
      <w:r>
        <w:t>signifikant erhöht. Der Druckgussprozess erfordert konstante Hochtemperaturschmelzen</w:t>
      </w:r>
    </w:p>
    <w:p>
      <w:pPr>
        <w:spacing w:line="259" w:lineRule="auto" w:after="60"/>
        <w:jc w:val="left"/>
      </w:pPr>
      <w:r>
        <w:t>(Aluminium: ca. 700°C, Magnesium: ca. 650°C) sowie energieintensive Druckluftversorgung.</w:t>
      </w:r>
    </w:p>
    <w:p>
      <w:pPr>
        <w:spacing w:line="259" w:lineRule="auto" w:after="60"/>
        <w:jc w:val="left"/>
      </w:pPr>
      <w:r>
        <w:t>Die Energiekosten stiegen von 1,2 Mio. EUR (2021) auf 3,1 Mio. EUR (2024).</w:t>
      </w:r>
    </w:p>
    <w:p>
      <w:pPr>
        <w:spacing w:line="259" w:lineRule="auto" w:after="60"/>
        <w:jc w:val="left"/>
      </w:pPr>
      <w:r>
        <w:rPr>
          <w:b/>
        </w:rPr>
        <w:t>Strukturelle Transformation Automobilindustrie (exogen/strukturell):</w:t>
      </w:r>
    </w:p>
    <w:p>
      <w:pPr>
        <w:spacing w:line="259" w:lineRule="auto" w:after="60"/>
        <w:jc w:val="left"/>
      </w:pPr>
      <w:r>
        <w:t>Der Übergang zu Elektrofahrzeugen hat die Nachfrage nach klassischen Antriebskomponenten</w:t>
      </w:r>
    </w:p>
    <w:p>
      <w:pPr>
        <w:spacing w:line="259" w:lineRule="auto" w:after="60"/>
        <w:jc w:val="left"/>
      </w:pPr>
      <w:r>
        <w:t>(Getriebegehäuse, Ölwannen, Motorlager) reduziert. VW Sachsen hat Bestellvolumina</w:t>
      </w:r>
    </w:p>
    <w:p>
      <w:pPr>
        <w:spacing w:line="259" w:lineRule="auto" w:after="60"/>
        <w:jc w:val="left"/>
      </w:pPr>
      <w:r>
        <w:t>um ca. 38 % reduziert (2021–2025). ZF Sachsen folgte mit ca. 29 % Reduktion.</w:t>
      </w:r>
    </w:p>
    <w:p>
      <w:pPr>
        <w:spacing w:line="259" w:lineRule="auto" w:after="60"/>
        <w:jc w:val="left"/>
      </w:pPr>
      <w:r>
        <w:rPr>
          <w:b/>
        </w:rPr>
        <w:t>Investitionsstau (endogen):</w:t>
      </w:r>
    </w:p>
    <w:p>
      <w:pPr>
        <w:spacing w:line="259" w:lineRule="auto" w:after="60"/>
        <w:jc w:val="left"/>
      </w:pPr>
      <w:r>
        <w:t>Die KG hat in den Jahren 2020–2023 notwendige Ersatzinvestitionen in Druckgussmaschinen</w:t>
      </w:r>
    </w:p>
    <w:p>
      <w:pPr>
        <w:spacing w:line="259" w:lineRule="auto" w:after="60"/>
        <w:jc w:val="left"/>
      </w:pPr>
      <w:r>
        <w:t>teilweise aufgeschoben (Investitionsrückstand ca. 4,5 Mio. EUR). Dies führte zu</w:t>
      </w:r>
    </w:p>
    <w:p>
      <w:pPr>
        <w:spacing w:line="259" w:lineRule="auto" w:after="60"/>
        <w:jc w:val="left"/>
      </w:pPr>
      <w:r>
        <w:t>erhöhten Ausschussraten und Liefertreue-Problemen.</w:t>
      </w:r>
    </w:p>
    <w:p>
      <w:pPr>
        <w:spacing w:line="259" w:lineRule="auto" w:after="60"/>
        <w:jc w:val="left"/>
      </w:pPr>
      <w:r>
        <w:rPr>
          <w:b/>
        </w:rPr>
        <w:t>Finanzielle Schieflage (Folgewirkung):</w:t>
      </w:r>
    </w:p>
    <w:p>
      <w:pPr>
        <w:spacing w:line="259" w:lineRule="auto" w:after="60"/>
        <w:jc w:val="left"/>
      </w:pPr>
      <w:r>
        <w:t>Die operativen Verluste 2025 von ca. 1,4 Mio. EUR EBITDA-Defizit haben die</w:t>
      </w:r>
    </w:p>
    <w:p>
      <w:pPr>
        <w:spacing w:line="259" w:lineRule="auto" w:after="60"/>
        <w:jc w:val="left"/>
      </w:pPr>
      <w:r>
        <w:t>Liquiditätspuffer aufgezehrt. Die KK-Kürzung der Sparkasse hat die kritische Situation</w:t>
      </w:r>
    </w:p>
    <w:p>
      <w:pPr>
        <w:spacing w:line="259" w:lineRule="auto" w:after="60"/>
        <w:jc w:val="left"/>
      </w:pPr>
      <w:r>
        <w:t>akut werden lassen.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Krisenstadium und Insolvenztatbestände (IDW S 6, Abschn. 4)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Krisenstadium</w:t>
      </w:r>
    </w:p>
    <w:p>
      <w:pPr>
        <w:spacing w:line="259" w:lineRule="auto" w:after="60"/>
        <w:jc w:val="left"/>
      </w:pPr>
      <w:r>
        <w:t>Nach dem Krisenphasenmodell von IDW S 6 befindet sich die KG im Stadium der</w:t>
      </w:r>
    </w:p>
    <w:p>
      <w:pPr>
        <w:spacing w:line="259" w:lineRule="auto" w:after="60"/>
        <w:jc w:val="left"/>
      </w:pPr>
      <w:r>
        <w:rPr>
          <w:b/>
        </w:rPr>
        <w:t>Liquiditätskrise</w:t>
      </w:r>
      <w:r>
        <w:t xml:space="preserve"> mit Übergang zur </w:t>
      </w:r>
      <w:r>
        <w:rPr>
          <w:b/>
        </w:rPr>
        <w:t>Insolvenzreife</w:t>
      </w:r>
      <w:r>
        <w:t>:</w:t>
      </w:r>
    </w:p>
    <w:p>
      <w:pPr>
        <w:pStyle w:val="ListBullet"/>
        <w:spacing w:line="259" w:lineRule="auto" w:after="60"/>
      </w:pPr>
      <w:r>
        <w:t>Strategische Krise: ab 2021 (E-Mobility-Transition erkannt, Reaktion unzureichend)</w:t>
      </w:r>
    </w:p>
    <w:p>
      <w:pPr>
        <w:pStyle w:val="ListBullet"/>
        <w:spacing w:line="259" w:lineRule="auto" w:after="60"/>
      </w:pPr>
      <w:r>
        <w:t>Erfolgskrise: ab 2024 (EBITDA annähernd null)</w:t>
      </w:r>
    </w:p>
    <w:p>
      <w:pPr>
        <w:pStyle w:val="ListBullet"/>
        <w:spacing w:line="259" w:lineRule="auto" w:after="60"/>
      </w:pPr>
      <w:r>
        <w:t>Liquiditätskrise: ab 15. April 2026 (KK-Kürzung Sparkasse)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3.2 Insolvenztatbestände</w:t>
      </w:r>
    </w:p>
    <w:p>
      <w:pPr>
        <w:spacing w:line="259" w:lineRule="auto" w:after="60"/>
        <w:jc w:val="left"/>
      </w:pPr>
      <w:r>
        <w:rPr>
          <w:b/>
        </w:rPr>
        <w:t>Drohende Zahlungsunfähigkeit (§ 18 InsO):</w:t>
      </w:r>
      <w:r>
        <w:t xml:space="preserve"> JA.</w:t>
      </w:r>
    </w:p>
    <w:p>
      <w:pPr>
        <w:spacing w:line="259" w:lineRule="auto" w:after="60"/>
        <w:jc w:val="left"/>
      </w:pPr>
      <w:r>
        <w:t>Gemäß integriertem Finanzplan wird die KG ohne externe Sanierungsmaßnahmen binnen</w:t>
      </w:r>
    </w:p>
    <w:p>
      <w:pPr>
        <w:spacing w:line="259" w:lineRule="auto" w:after="60"/>
        <w:jc w:val="left"/>
      </w:pPr>
      <w:r>
        <w:t>12 Wochen zahlungsunfähig. Der Saldo der prognostizierten Einzahlungen und</w:t>
      </w:r>
    </w:p>
    <w:p>
      <w:pPr>
        <w:spacing w:line="259" w:lineRule="auto" w:after="60"/>
        <w:jc w:val="left"/>
      </w:pPr>
      <w:r>
        <w:t>Auszahlungen weist ab KW 23/2026 eine kumulative Unterdeckung auf.</w:t>
      </w:r>
    </w:p>
    <w:p>
      <w:pPr>
        <w:spacing w:line="259" w:lineRule="auto" w:after="60"/>
        <w:jc w:val="left"/>
      </w:pPr>
      <w:r>
        <w:rPr>
          <w:b/>
        </w:rPr>
        <w:t>Überschuldung (§ 19 InsO):</w:t>
      </w:r>
      <w:r>
        <w:t xml:space="preserve"> GRENZWERTIG.</w:t>
      </w:r>
    </w:p>
    <w:p>
      <w:pPr>
        <w:spacing w:line="259" w:lineRule="auto" w:after="60"/>
        <w:jc w:val="left"/>
      </w:pPr>
      <w:r>
        <w:t>Unter Fortführungswerten (going concern) ist die Überschuldung noch nicht eingetreten.</w:t>
      </w:r>
    </w:p>
    <w:p>
      <w:pPr>
        <w:spacing w:line="259" w:lineRule="auto" w:after="60"/>
        <w:jc w:val="left"/>
      </w:pPr>
      <w:r>
        <w:t>Unter Zerschlagungswerten ergibt sich eine Überschuldung von ca. 2,1 Mio. EUR.</w:t>
      </w:r>
    </w:p>
    <w:p>
      <w:pPr>
        <w:spacing w:line="259" w:lineRule="auto" w:after="60"/>
        <w:jc w:val="left"/>
      </w:pPr>
      <w:r>
        <w:t>Die Fortführungsprognose ist positiv, sofern der Sanierungsplan umgesetzt wird.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Sanierungskonzept – Wesentliche Maßnahmen (IDW S 6, Abschn. 5)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4.1 Sofortmaßnahmen (Liquiditätssicherung)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Effekt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Verkauf nicht betriebsnotwendiger Maschinen (3 ältere Druckgussanlagen)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Mai–Juni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Factoring-Vereinbarung mit Eurofactor GmbH (Debitoren-Vorfinanzierung)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 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Stundungsvereinbarung Aluminium Stade (6 Monate, 0 % Zins)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Liquiditätsschonung 890.000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nicht wesentlicher Leasingverträge (5 Fahrzeuge, 2 Flurförderzeuge)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67.000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Inanspruchnahme Insolvenzgeld (Lohnfortzahlung 3 Monate durch BA)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1.869.000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Mai–Juli 2026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4.2 Operative Sanierungsmaßnahmen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Einsparung/Ertrag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Energiekostenoptimierung (Wechsel Energieversorger, Eigenstrom PV-Anlage)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480.000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 Q4/2026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Personalanpassung (Reduzierung auf 162 MA, Sozialplan)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Ende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Kurzarbeit in Übergangsphase (Ca. 40 MA, 6 Monate)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Mai–Oktober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 Siemens-Pönale (Anpassung Lieferziele)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Juni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Neukundenakquisition Batterie-/Strukturteile (Kontakte CATL, Webasto)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2.500.000 (ab 2027)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 Q3/2026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4.3 Finanzielle Sanierungsmaßnahmen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Debt-to-Equity-Swap durch Sparkasse Mittelthüringen (Wandlung 2 Mio. EUR Kredit)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Rangrücktritt Restforderung Sparkasse (2,8 Mio. EUR) bis 2029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Aluminium Stade (25 % = 222.500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222.500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Magnesium Voß (20 % = 68.000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Gesellschaftereinlage Großbach-Familie (aus Privatvermögen inkl. BTC-Verwertung)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600.000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Sanierungsfähigkeit und -würdigkeit</w:t>
      </w:r>
    </w:p>
    <w:p>
      <w:pPr>
        <w:spacing w:line="259" w:lineRule="auto" w:after="60"/>
        <w:jc w:val="left"/>
      </w:pPr>
      <w:r>
        <w:rPr>
          <w:b/>
        </w:rPr>
        <w:t>Sanierungsfähigkeit (IDW S 6, Rz. 96 ff.):</w:t>
      </w:r>
    </w:p>
    <w:p>
      <w:pPr>
        <w:spacing w:line="259" w:lineRule="auto" w:after="60"/>
        <w:jc w:val="left"/>
      </w:pPr>
      <w:r>
        <w:t>Das Unternehmen ist nach den vorliegenden Analysen sanierungsfähig. Die wesentliche</w:t>
      </w:r>
    </w:p>
    <w:p>
      <w:pPr>
        <w:spacing w:line="259" w:lineRule="auto" w:after="60"/>
        <w:jc w:val="left"/>
      </w:pPr>
      <w:r>
        <w:t>Sanierungslücke (ca. 4,5 Mio. EUR) kann durch Kombination der oben genannten Maßnahmen</w:t>
      </w:r>
    </w:p>
    <w:p>
      <w:pPr>
        <w:spacing w:line="259" w:lineRule="auto" w:after="60"/>
        <w:jc w:val="left"/>
      </w:pPr>
      <w:r>
        <w:t>geschlossen werden. Der Sanierungsplan führt unter dem Basisszenario ab 2027 wieder</w:t>
      </w:r>
    </w:p>
    <w:p>
      <w:pPr>
        <w:spacing w:line="259" w:lineRule="auto" w:after="60"/>
        <w:jc w:val="left"/>
      </w:pPr>
      <w:r>
        <w:t>zu positiven Cashflows.</w:t>
      </w:r>
    </w:p>
    <w:p>
      <w:pPr>
        <w:spacing w:line="259" w:lineRule="auto" w:after="60"/>
        <w:jc w:val="left"/>
      </w:pPr>
      <w:r>
        <w:rPr>
          <w:b/>
        </w:rPr>
        <w:t>Sanierungswürdigkeit:</w:t>
      </w:r>
    </w:p>
    <w:p>
      <w:pPr>
        <w:spacing w:line="259" w:lineRule="auto" w:after="60"/>
        <w:jc w:val="left"/>
      </w:pPr>
      <w:r>
        <w:t>Das Unternehmen ist sanierungswürdig: 187 Arbeitsplätze werden gesichert, die regionale</w:t>
      </w:r>
    </w:p>
    <w:p>
      <w:pPr>
        <w:spacing w:line="259" w:lineRule="auto" w:after="60"/>
        <w:jc w:val="left"/>
      </w:pPr>
      <w:r>
        <w:t>Wirtschaftsbedeutung (Erfurt, Thüringen) ist erheblich; das Unternehmen liefert</w:t>
      </w:r>
    </w:p>
    <w:p>
      <w:pPr>
        <w:spacing w:line="259" w:lineRule="auto" w:after="60"/>
        <w:jc w:val="left"/>
      </w:pPr>
      <w:r>
        <w:t>systemrelevante Komponenten für die regionale Automotive-Industrie.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Integrierter Sanierungsfinanzplan (3-Szenarien, Zusammenfassung)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EBITDA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EBITDA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EBITDA 2028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Liquidität per 31.12.2026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Optimistisch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+0,8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+3,1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+4,2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+1,4 Mio.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Basis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-0,3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+1,9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+3,1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+0,6 Mio.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Pessimistisch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-1,2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+0,4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+1,8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-0,2 Mio. EUR</w:t>
            </w:r>
          </w:p>
        </w:tc>
      </w:tr>
    </w:tbl>
    <w:p>
      <w:pPr>
        <w:spacing w:line="259" w:lineRule="auto" w:after="60"/>
        <w:jc w:val="left"/>
      </w:pPr>
      <w:r>
        <w:t>Im pessimistischen Szenario wäre eine Nachfinanzierung von ca. 0,5 Mio. EUR erforderlich.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Bericht erstellt gemäß IDW S 6 (Stand 16.09.2022)</w:t>
      </w:r>
    </w:p>
    <w:p>
      <w:pPr>
        <w:spacing w:line="259" w:lineRule="auto" w:after="60"/>
        <w:jc w:val="left"/>
      </w:pPr>
      <w:r>
        <w:rPr>
          <w:i/>
        </w:rPr>
        <w:t>RA Dr. Maximilian Drosselberg, Drosselberg &amp; Partner, Erfurt</w:t>
      </w:r>
    </w:p>
    <w:p>
      <w:pPr>
        <w:spacing w:line="259" w:lineRule="auto" w:after="60"/>
        <w:jc w:val="left"/>
      </w:pPr>
      <w:r>
        <w:rPr>
          <w:i/>
        </w:rPr>
        <w:t>WP Hans-Dieter Kleemann, WSP Wirtschaftsprüfung Erfurt GmbH</w:t>
      </w:r>
    </w:p>
    <w:p>
      <w:pPr>
        <w:spacing w:line="259" w:lineRule="auto" w:after="60"/>
        <w:jc w:val="left"/>
      </w:pPr>
      <w:r>
        <w:rPr>
          <w:i/>
        </w:rPr>
        <w:t>2. Mai 2026 – Vertraulich – Nur für Gerichtszwecke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