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08 – Verhandlungsprotokoll Sparkasse Mittelthüringen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10. Mai 2026, 14:00–16:30 Uhr</w:t>
      </w:r>
    </w:p>
    <w:p>
      <w:pPr>
        <w:spacing w:line="259" w:lineRule="auto" w:after="60"/>
        <w:jc w:val="left"/>
      </w:pPr>
      <w:r>
        <w:rPr>
          <w:b/>
        </w:rPr>
        <w:t>Ort:</w:t>
      </w:r>
      <w:r>
        <w:t xml:space="preserve"> Sparkasse Mittelthüringen, Bahnhofstraße 34, 99084 Erfurt (Konferenzraum 3. OG)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Teilnehmer Sparkasse: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Hendrik Krause, Firmenkundenbetreuer (Leitung)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Frank Ott, Kreditrisikoabteilung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Martina Wegner, Rechtsabteilung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Teilnehmer Mandantin:</w:t>
      </w:r>
    </w:p>
    <w:p>
      <w:pPr>
        <w:pStyle w:val="ListBullet"/>
        <w:spacing w:line="259" w:lineRule="auto" w:after="60"/>
      </w:pPr>
      <w:r>
        <w:t>Friedhelm Großbach, Geschäftsführer</w:t>
      </w:r>
    </w:p>
    <w:p>
      <w:pPr>
        <w:pStyle w:val="ListBullet"/>
        <w:spacing w:line="259" w:lineRule="auto" w:after="60"/>
      </w:pPr>
      <w:r>
        <w:t>Bertha Großbach-Riemenschneider, Junior-GF</w:t>
      </w:r>
    </w:p>
    <w:p>
      <w:pPr>
        <w:spacing w:line="259" w:lineRule="auto" w:after="60"/>
        <w:jc w:val="left"/>
      </w:pPr>
      <w:r>
        <w:rPr>
          <w:b/>
        </w:rPr>
        <w:t>Teilnehmer Kanzlei:</w:t>
      </w:r>
    </w:p>
    <w:p>
      <w:pPr>
        <w:pStyle w:val="ListBullet"/>
        <w:spacing w:line="259" w:lineRule="auto" w:after="60"/>
      </w:pPr>
      <w:r>
        <w:t>RA Dr. Maximilian Drosselberg (Kanzleivertreter und Sanierungsberater)</w:t>
      </w:r>
    </w:p>
    <w:p>
      <w:pPr>
        <w:spacing w:line="259" w:lineRule="auto" w:after="60"/>
        <w:jc w:val="left"/>
      </w:pPr>
      <w:r>
        <w:rPr>
          <w:b/>
        </w:rPr>
        <w:t>Protokollant:</w:t>
      </w:r>
      <w:r>
        <w:t xml:space="preserve"> RAin Claudia Feuerbach (telefonisch zugeschaltet, nicht vor Ort)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1. Eröffnung und Tagesordnung</w:t>
      </w:r>
    </w:p>
    <w:p>
      <w:pPr>
        <w:spacing w:line="259" w:lineRule="auto" w:after="60"/>
        <w:jc w:val="left"/>
      </w:pPr>
      <w:r>
        <w:t>Hendrik Krause begrüßte die Anwesenden und dankte für den kurzfristigen Termin.</w:t>
      </w:r>
    </w:p>
    <w:p>
      <w:pPr>
        <w:spacing w:line="259" w:lineRule="auto" w:after="60"/>
        <w:jc w:val="left"/>
      </w:pPr>
      <w:r>
        <w:t>Er erläuterte, dass die Sparkasse grundsätzlich als langjährige Hausbank der Großbach-Familie</w:t>
      </w:r>
    </w:p>
    <w:p>
      <w:pPr>
        <w:spacing w:line="259" w:lineRule="auto" w:after="60"/>
        <w:jc w:val="left"/>
      </w:pPr>
      <w:r>
        <w:t>(Bankbeziehung seit 1972) an einer konstruktiven Lösung interessiert sei.</w:t>
      </w:r>
    </w:p>
    <w:p>
      <w:pPr>
        <w:spacing w:line="259" w:lineRule="auto" w:after="60"/>
        <w:jc w:val="left"/>
      </w:pPr>
      <w:r>
        <w:t>„Wir sind keine Liquidierungsbank. Uns liegt an Erfurt, an den Arbeitsplätzen. Aber wir</w:t>
      </w:r>
    </w:p>
    <w:p>
      <w:pPr>
        <w:spacing w:line="259" w:lineRule="auto" w:after="60"/>
        <w:jc w:val="left"/>
      </w:pPr>
      <w:r>
        <w:t>brauchen Gewissheit über die Sanierungsperspektive."</w:t>
      </w:r>
    </w:p>
    <w:p>
      <w:pPr>
        <w:spacing w:line="259" w:lineRule="auto" w:after="60"/>
        <w:jc w:val="left"/>
      </w:pPr>
      <w:r>
        <w:t>Dr. Drosselberg übernahm das Wort und skizzierte die Situation aus rechtlicher Sicht:</w:t>
      </w:r>
    </w:p>
    <w:p>
      <w:pPr>
        <w:spacing w:line="259" w:lineRule="auto" w:after="60"/>
        <w:jc w:val="left"/>
      </w:pPr>
      <w:r>
        <w:t>Drohende Zahlungsunfähigkeit gemäß § 18 InsO sei bereits eingetreten. Das Sanierungskonzept</w:t>
      </w:r>
    </w:p>
    <w:p>
      <w:pPr>
        <w:spacing w:line="259" w:lineRule="auto" w:after="60"/>
        <w:jc w:val="left"/>
      </w:pPr>
      <w:r>
        <w:t>sei in Arbeit (IDW S 6, Vorlage bis 15.05.2026 zugesagt). Gleichzeitig werde ein</w:t>
      </w:r>
    </w:p>
    <w:p>
      <w:pPr>
        <w:spacing w:line="259" w:lineRule="auto" w:after="60"/>
        <w:jc w:val="left"/>
      </w:pPr>
      <w:r>
        <w:t>Schutzschirmantrag vorbereitet, der als „Plan B" den Sanierungsrahmen absichere.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Darstellung Kreditlage (Sparkasse)</w:t>
      </w:r>
    </w:p>
    <w:p>
      <w:pPr>
        <w:spacing w:line="259" w:lineRule="auto" w:after="60"/>
        <w:jc w:val="left"/>
      </w:pPr>
      <w:r>
        <w:t>Frank Ott präsentierte aus Sicht der Sparkasse die aktuellen Kreditdaten: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Sicherheit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Sicherheitswert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Kontokorrentkredit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4.800.000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Grundschuld Erfurt + Maschinensicherungsübereignung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~5.000.000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Investitionskredit Guss-Maschinen (Restvaluta)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Sicherungsübereignung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~900.000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Bürgschaft Friedhelm Großbach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1.500.000 (max.)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Persönlich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Unbekannt</w:t>
            </w:r>
          </w:p>
        </w:tc>
      </w:tr>
    </w:tbl>
    <w:p>
      <w:pPr>
        <w:spacing w:line="259" w:lineRule="auto" w:after="60"/>
        <w:jc w:val="left"/>
      </w:pPr>
      <w:r>
        <w:t>„Wir haben die KK-Linie nicht aus Bosheit gekürzt", erklärte Ott, „sondern weil die</w:t>
      </w:r>
    </w:p>
    <w:p>
      <w:pPr>
        <w:spacing w:line="259" w:lineRule="auto" w:after="60"/>
        <w:jc w:val="left"/>
      </w:pPr>
      <w:r>
        <w:t>Covenants aus dem Kreditvertrag 2022 greifen. Paragraph 12 Absatz 3 gibt uns das Recht</w:t>
      </w:r>
    </w:p>
    <w:p>
      <w:pPr>
        <w:spacing w:line="259" w:lineRule="auto" w:after="60"/>
        <w:jc w:val="left"/>
      </w:pPr>
      <w:r>
        <w:t>bei Unterschreitung der EBITDA-Marge von 2 %. Das ist eingetreten."</w:t>
      </w:r>
    </w:p>
    <w:p>
      <w:pPr>
        <w:spacing w:line="259" w:lineRule="auto" w:after="60"/>
        <w:jc w:val="left"/>
      </w:pPr>
      <w:r>
        <w:t>Frau Wegner ergänzte, dass die Sparkasse rechtlich zur Kreditkündigung verpflichtet wäre,</w:t>
      </w:r>
    </w:p>
    <w:p>
      <w:pPr>
        <w:spacing w:line="259" w:lineRule="auto" w:after="60"/>
        <w:jc w:val="left"/>
      </w:pPr>
      <w:r>
        <w:t>wenn sie trotz Covenant-Verletzung untätig bleibt – ein aus aufsichtsrechtlichen Gründen</w:t>
      </w:r>
    </w:p>
    <w:p>
      <w:pPr>
        <w:spacing w:line="259" w:lineRule="auto" w:after="60"/>
        <w:jc w:val="left"/>
      </w:pPr>
      <w:r>
        <w:t>heikler Sachverhalt (MaRisk, Basel III).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Verhandlung der Sanierungsbeiträge</w:t>
      </w:r>
    </w:p>
    <w:p>
      <w:pPr>
        <w:spacing w:line="259" w:lineRule="auto" w:after="60"/>
        <w:jc w:val="left"/>
      </w:pPr>
      <w:r>
        <w:t>Dr. Drosselberg unterbreitete das Sanierungsangebot der Mandantin:</w:t>
      </w:r>
    </w:p>
    <w:p>
      <w:pPr>
        <w:spacing w:line="259" w:lineRule="auto" w:after="60"/>
        <w:jc w:val="left"/>
      </w:pPr>
      <w:r>
        <w:rPr>
          <w:b/>
        </w:rPr>
        <w:t>Angebot 1 (Maximalziel):</w:t>
      </w:r>
    </w:p>
    <w:p>
      <w:pPr>
        <w:pStyle w:val="ListBullet"/>
        <w:spacing w:line="259" w:lineRule="auto" w:after="60"/>
      </w:pPr>
      <w:r>
        <w:t>Debt-to-Equity-Swap: Wandlung von 2.000.000 EUR in stille Beteiligung (Rückkauf ab 2030,</w:t>
      </w:r>
    </w:p>
    <w:p>
      <w:pPr>
        <w:spacing w:line="259" w:lineRule="auto" w:after="60"/>
        <w:jc w:val="left"/>
      </w:pPr>
      <w:r>
        <w:t>3 % p.a. Verzinsung)</w:t>
      </w:r>
    </w:p>
    <w:p>
      <w:pPr>
        <w:pStyle w:val="ListBullet"/>
        <w:spacing w:line="259" w:lineRule="auto" w:after="60"/>
      </w:pPr>
      <w:r>
        <w:t>Rangrücktritt: 1.600.000 EUR bis 31.12.2029</w:t>
      </w:r>
    </w:p>
    <w:p>
      <w:pPr>
        <w:pStyle w:val="ListBullet"/>
        <w:spacing w:line="259" w:lineRule="auto" w:after="60"/>
      </w:pPr>
      <w:r>
        <w:t>Planmäßige Rückzahlung: 1.200.000 EUR in 4 Jahresraten (2027–2030)</w:t>
      </w:r>
    </w:p>
    <w:p>
      <w:pPr>
        <w:pStyle w:val="ListBullet"/>
        <w:spacing w:line="259" w:lineRule="auto" w:after="60"/>
      </w:pPr>
      <w:r>
        <w:t>Zinssatz: 1,5 % p.a. auf gesicherten Rest</w:t>
      </w:r>
    </w:p>
    <w:p>
      <w:pPr>
        <w:spacing w:line="259" w:lineRule="auto" w:after="60"/>
        <w:jc w:val="left"/>
      </w:pPr>
      <w:r>
        <w:t>Reaktion Krause: „Das ist sportlich. Einen Debt-to-Equity-Swap müssten wir intern durch</w:t>
      </w:r>
    </w:p>
    <w:p>
      <w:pPr>
        <w:spacing w:line="259" w:lineRule="auto" w:after="60"/>
        <w:jc w:val="left"/>
      </w:pPr>
      <w:r>
        <w:t>drei Gremien schleusen. Das dauert. Aber wir sind nicht prinzipiell dagegen."</w:t>
      </w:r>
    </w:p>
    <w:p>
      <w:pPr>
        <w:spacing w:line="259" w:lineRule="auto" w:after="60"/>
        <w:jc w:val="left"/>
      </w:pPr>
      <w:r>
        <w:t>Reaktion Ott: „Wir bräuchten eine aktuelle Bewertung des Betriebsgrundstücks. Die letzte</w:t>
      </w:r>
    </w:p>
    <w:p>
      <w:pPr>
        <w:spacing w:line="259" w:lineRule="auto" w:after="60"/>
        <w:jc w:val="left"/>
      </w:pPr>
      <w:r>
        <w:t>ist von 2021."</w:t>
      </w:r>
    </w:p>
    <w:p>
      <w:pPr>
        <w:spacing w:line="259" w:lineRule="auto" w:after="60"/>
        <w:jc w:val="left"/>
      </w:pPr>
      <w:r>
        <w:t>Dr. Drosselberg schlug vor, unverzüglich einen Gutachter (ö.b.u.v. Sachverständiger) zu</w:t>
      </w:r>
    </w:p>
    <w:p>
      <w:pPr>
        <w:spacing w:line="259" w:lineRule="auto" w:after="60"/>
        <w:jc w:val="left"/>
      </w:pPr>
      <w:r>
        <w:t>beauftragen. Einigung: WSP-Gutachten Immobilien Erfurt bis 25.05.2026.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Bürgschaft Friedhelm Großbach</w:t>
      </w:r>
    </w:p>
    <w:p>
      <w:pPr>
        <w:spacing w:line="259" w:lineRule="auto" w:after="60"/>
        <w:jc w:val="left"/>
      </w:pPr>
      <w:r>
        <w:t>Frau Wegner fragte gezielt nach der wirtschaftlichen Situation von Friedhelm Großbach</w:t>
      </w:r>
    </w:p>
    <w:p>
      <w:pPr>
        <w:spacing w:line="259" w:lineRule="auto" w:after="60"/>
        <w:jc w:val="left"/>
      </w:pPr>
      <w:r>
        <w:t>als persönlichem Bürgen.</w:t>
      </w:r>
    </w:p>
    <w:p>
      <w:pPr>
        <w:spacing w:line="259" w:lineRule="auto" w:after="60"/>
        <w:jc w:val="left"/>
      </w:pPr>
      <w:r>
        <w:t>Dr. Drosselberg: „Mein Mandant steht zur Verantwortung. Er hat jedoch selbst Verbindlichkeiten</w:t>
      </w:r>
    </w:p>
    <w:p>
      <w:pPr>
        <w:spacing w:line="259" w:lineRule="auto" w:after="60"/>
        <w:jc w:val="left"/>
      </w:pPr>
      <w:r>
        <w:t>aus dem Darlehensrückzahlungsvorgang vom Januar 2026 – dazu läuft eine rechtliche Prüfung."</w:t>
      </w:r>
    </w:p>
    <w:p>
      <w:pPr>
        <w:spacing w:line="259" w:lineRule="auto" w:after="60"/>
        <w:jc w:val="left"/>
      </w:pPr>
      <w:r>
        <w:t>Friedhelm Großbach erklärte, er wolle persönlich einen Beitrag zur Sanierung leisten</w:t>
      </w:r>
    </w:p>
    <w:p>
      <w:pPr>
        <w:spacing w:line="259" w:lineRule="auto" w:after="60"/>
        <w:jc w:val="left"/>
      </w:pPr>
      <w:r>
        <w:t>und verwies auf seinen Bitcoin-Bestand (8 BTC, ca. 612.000 EUR), der zur Unterstützung</w:t>
      </w:r>
    </w:p>
    <w:p>
      <w:pPr>
        <w:spacing w:line="259" w:lineRule="auto" w:after="60"/>
        <w:jc w:val="left"/>
      </w:pPr>
      <w:r>
        <w:t>des Sanierungsplans eingesetzt werden könne.</w:t>
      </w:r>
    </w:p>
    <w:p>
      <w:pPr>
        <w:spacing w:line="259" w:lineRule="auto" w:after="60"/>
        <w:jc w:val="left"/>
      </w:pPr>
      <w:r>
        <w:t>Krause zeigte sich überrascht: „Bitcoin? Das wird unsere Risikoabteilung interessieren.</w:t>
      </w:r>
    </w:p>
    <w:p>
      <w:pPr>
        <w:spacing w:line="259" w:lineRule="auto" w:after="60"/>
        <w:jc w:val="left"/>
      </w:pPr>
      <w:r>
        <w:t>Bitte übermitteln Sie uns dazu schriftlich eine Aufstellung."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Vereinbarungen und nächste Schritte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Vorlage IDW-S-6-Gutachten durch Kanzlei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Drosselberg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Beauftragung Immobiliengutachten Betriebsgrundstück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+ WSP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Übermittlung Bitcoin-Aufstellung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Großbach / Pabst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 Entscheidung Sparkasse DtE-Swap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Krause/Gremium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Folgetermin zur Konditionsverhandlung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Schriftliches Stillhalteabkommen Kreditkündigung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Sparkasse Rechtsabt.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Schriftliches Stillhalteabkommen (Standstill):</w:t>
      </w:r>
    </w:p>
    <w:p>
      <w:pPr>
        <w:spacing w:line="259" w:lineRule="auto" w:after="60"/>
        <w:jc w:val="left"/>
      </w:pPr>
      <w:r>
        <w:t>Die Sparkasse erklärt sich bereit, bis 30.06.2026 auf die formale Kündigung des</w:t>
      </w:r>
    </w:p>
    <w:p>
      <w:pPr>
        <w:spacing w:line="259" w:lineRule="auto" w:after="60"/>
        <w:jc w:val="left"/>
      </w:pPr>
      <w:r>
        <w:t>Kontokorrentkredits zu verzichten, sofern das Sanierungskonzept bis 15.05.2026 vorliegt</w:t>
      </w:r>
    </w:p>
    <w:p>
      <w:pPr>
        <w:spacing w:line="259" w:lineRule="auto" w:after="60"/>
        <w:jc w:val="left"/>
      </w:pPr>
      <w:r>
        <w:t>und kein weiterer Covenant-Verstoß eintritt (Vermögensminderung &gt; 5 % per Einzeltransaktion).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6. Einschätzung Drosselberg (nach Verhandlung)</w:t>
      </w:r>
    </w:p>
    <w:p>
      <w:pPr>
        <w:spacing w:line="259" w:lineRule="auto" w:after="60"/>
        <w:jc w:val="left"/>
      </w:pPr>
      <w:r>
        <w:t>Die Sparkasse ist verhandlungsbereit. Das Gespräch verlief konstruktiv. Der Debt-to-Equity-</w:t>
      </w:r>
    </w:p>
    <w:p>
      <w:pPr>
        <w:spacing w:line="259" w:lineRule="auto" w:after="60"/>
        <w:jc w:val="left"/>
      </w:pPr>
      <w:r>
        <w:t>Swap wird nicht abgelehnt, braucht aber interne Zustimmung. Das Stillhalteabkommen sichert</w:t>
      </w:r>
    </w:p>
    <w:p>
      <w:pPr>
        <w:spacing w:line="259" w:lineRule="auto" w:after="60"/>
        <w:jc w:val="left"/>
      </w:pPr>
      <w:r>
        <w:t>uns den nötigen Zeitraum. Die Bitcoin-Erwähnung war spontan durch Großbach – war taktisch</w:t>
      </w:r>
    </w:p>
    <w:p>
      <w:pPr>
        <w:spacing w:line="259" w:lineRule="auto" w:after="60"/>
        <w:jc w:val="left"/>
      </w:pPr>
      <w:r>
        <w:t>nicht optimal, aber zeigt der Sparkasse, dass Eigenmittel vorhanden sind.</w:t>
      </w:r>
    </w:p>
    <w:p>
      <w:pPr>
        <w:spacing w:line="259" w:lineRule="auto" w:after="60"/>
        <w:jc w:val="left"/>
      </w:pPr>
      <w:r>
        <w:rPr>
          <w:b/>
        </w:rPr>
        <w:t>Risiko:</w:t>
      </w:r>
      <w:r>
        <w:t xml:space="preserve"> Sparkasse könnte nach Vorlage des IDW-S-6-Gutachtens die Lage als „offensichtlich</w:t>
      </w:r>
    </w:p>
    <w:p>
      <w:pPr>
        <w:spacing w:line="259" w:lineRule="auto" w:after="60"/>
        <w:jc w:val="left"/>
      </w:pPr>
      <w:r>
        <w:t>aussichtslos" bewerten und die Kündigung vollziehen. Daher muss das Gutachten überzeugend sein.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Protokoll erstellt von: RAin Claudia Feuerbach</w:t>
      </w:r>
    </w:p>
    <w:p>
      <w:pPr>
        <w:spacing w:line="259" w:lineRule="auto" w:after="60"/>
        <w:jc w:val="left"/>
      </w:pPr>
      <w:r>
        <w:rPr>
          <w:i/>
        </w:rPr>
        <w:t>Drosselberg &amp; Partner Insolvenzrecht, Erfurt</w:t>
      </w:r>
    </w:p>
    <w:p>
      <w:pPr>
        <w:spacing w:line="259" w:lineRule="auto" w:after="60"/>
        <w:jc w:val="left"/>
      </w:pPr>
      <w:r>
        <w:rPr>
          <w:i/>
        </w:rPr>
        <w:t>10. Mai 2026 – Vertraulich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