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10 – Insolvenzanfechtung – Bonuszahlung Bertha Großbach-Riemenschneider (§ 133 InsO)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RAin Claudia Feuerbach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20.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Status:</w:t>
      </w:r>
      <w:r>
        <w:rPr>
          <w:rFonts w:ascii="Times New Roman" w:hAnsi="Times New Roman"/>
          <w:b/>
          <w:sz w:val="22"/>
        </w:rPr>
        <w:t xml:space="preserve"> Rechtliches Prüfungsvermerk – Vorentwurf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Sachverhalt</w:t>
      </w:r>
    </w:p>
    <w:p>
      <w:pPr>
        <w:spacing w:line="259" w:lineRule="auto" w:after="60"/>
        <w:jc w:val="left"/>
      </w:pPr>
      <w:r>
        <w:t>Bertha Großbach-Riemenschneider (38), Tochter von Friedhelm Großbach und seit 2022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 xml:space="preserve">Junior-Geschäftsführerin der Komplementär-GmbH, erhielt am </w:t>
      </w:r>
      <w:r>
        <w:rPr>
          <w:rFonts w:ascii="Times New Roman" w:hAnsi="Times New Roman"/>
          <w:b/>
          <w:sz w:val="22"/>
        </w:rPr>
        <w:t>14. Februar 2026</w:t>
      </w:r>
      <w:r>
        <w:rPr>
          <w:rFonts w:ascii="Times New Roman" w:hAnsi="Times New Roman"/>
          <w:b/>
          <w:sz w:val="22"/>
        </w:rPr>
        <w:t xml:space="preserve"> eine</w:t>
      </w:r>
    </w:p>
    <w:p>
      <w:pPr>
        <w:spacing w:line="259" w:lineRule="auto" w:after="60"/>
        <w:jc w:val="left"/>
      </w:pPr>
      <w:r>
        <w:t xml:space="preserve">Bonuszahlung in Höhe von </w:t>
      </w:r>
      <w:r>
        <w:rPr>
          <w:b/>
        </w:rPr>
        <w:t>22.000 EUR</w:t>
      </w:r>
      <w:r>
        <w:t xml:space="preserve"> brutto (Nettoauszahlung nach Lohnsteuer: ca.</w:t>
      </w:r>
    </w:p>
    <w:p>
      <w:pPr>
        <w:spacing w:line="259" w:lineRule="auto" w:after="60"/>
        <w:jc w:val="left"/>
      </w:pPr>
      <w:r>
        <w:t>12.600 EUR). Die Zahlung war in ihrem Anstellungsvertrag vom 01.10.2022 als jährliche</w:t>
      </w:r>
    </w:p>
    <w:p>
      <w:pPr>
        <w:spacing w:line="259" w:lineRule="auto" w:after="60"/>
        <w:jc w:val="left"/>
      </w:pPr>
      <w:r>
        <w:t>„Performance Bonus"-Komponente in Höhe von bis zu 25.000 EUR vereinbart (bei Zielerreichung).</w:t>
      </w:r>
    </w:p>
    <w:p>
      <w:pPr>
        <w:spacing w:line="259" w:lineRule="auto" w:after="60"/>
        <w:jc w:val="left"/>
      </w:pPr>
      <w:r>
        <w:t>Die Auszahlungsbestätigung der Sparkasse datiert auf den 14.02.2026. Zu diesem Zeitpunkt</w:t>
      </w:r>
    </w:p>
    <w:p>
      <w:pPr>
        <w:spacing w:line="259" w:lineRule="auto" w:after="60"/>
        <w:jc w:val="left"/>
      </w:pPr>
      <w:r>
        <w:t>lagen bereits erhebliche Liquiditätsprobleme vor (Verbindlichkeiten Aluminium Stade</w:t>
      </w:r>
    </w:p>
    <w:p>
      <w:pPr>
        <w:spacing w:line="259" w:lineRule="auto" w:after="60"/>
        <w:jc w:val="left"/>
      </w:pPr>
      <w:r>
        <w:t>und Magnesium Voß überfällig, EBITDA Januar 2026 negativ ca. -280.000 EUR).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Rechtliche Prüfung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§ 133 Abs. 1 InsO – Vorsatzanfechtung</w:t>
      </w:r>
    </w:p>
    <w:p>
      <w:pPr>
        <w:spacing w:line="259" w:lineRule="auto" w:after="60"/>
        <w:jc w:val="left"/>
      </w:pPr>
      <w:r>
        <w:t>Die Voraussetzungen sind dieselben wie bei der Gesellschafterdarlehen-Rückzahlung:</w:t>
      </w:r>
    </w:p>
    <w:p>
      <w:pPr>
        <w:pStyle w:val="ListBullet"/>
        <w:spacing w:line="259" w:lineRule="auto" w:after="60"/>
      </w:pPr>
      <w:r>
        <w:t xml:space="preserve">Rechtshandlung innerhalb von 10 Jahren vor Insolvenzantrag: </w:t>
      </w:r>
      <w:r>
        <w:rPr>
          <w:b/>
        </w:rPr>
        <w:t>JA</w:t>
      </w:r>
      <w:r>
        <w:t xml:space="preserve"> (14.02.2026, Antrag 05.05.2026)</w:t>
      </w:r>
    </w:p>
    <w:p>
      <w:pPr>
        <w:pStyle w:val="ListBullet"/>
        <w:spacing w:line="259" w:lineRule="auto" w:after="60"/>
      </w:pPr>
      <w:r>
        <w:t xml:space="preserve">Gläubigerbenachteiligungsvorsatz der KG (Schuldnerin): </w:t>
      </w:r>
      <w:r>
        <w:rPr>
          <w:b/>
        </w:rPr>
        <w:t>Prüfungsbedürftig</w:t>
      </w:r>
      <w:r>
        <w:t xml:space="preserve"> (s.u.)</w:t>
      </w:r>
    </w:p>
    <w:p>
      <w:pPr>
        <w:pStyle w:val="ListBullet"/>
        <w:spacing w:line="259" w:lineRule="auto" w:after="60"/>
      </w:pPr>
      <w:r>
        <w:t xml:space="preserve">Kenntnis der Bertha Großbach-Riemenschneider: </w:t>
      </w:r>
      <w:r>
        <w:rPr>
          <w:b/>
        </w:rPr>
        <w:t>Prüfungsbedürftig</w:t>
      </w:r>
      <w:r>
        <w:t xml:space="preserve"> (s.u.)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§ 133 Abs. 2 InsO – Anfechtung Rechtshandlungen gegenüber nahestehenden Personen</w:t>
      </w:r>
    </w:p>
    <w:p>
      <w:pPr>
        <w:spacing w:line="259" w:lineRule="auto" w:after="60"/>
        <w:jc w:val="left"/>
      </w:pPr>
      <w:r>
        <w:t xml:space="preserve">Nach § 133 Abs. 2 InsO gelten bei Rechtshandlungen gegenüber </w:t>
      </w:r>
      <w:r>
        <w:rPr>
          <w:b/>
        </w:rPr>
        <w:t>nahestehenden Personen</w:t>
      </w:r>
    </w:p>
    <w:p>
      <w:pPr>
        <w:spacing w:line="259" w:lineRule="auto" w:after="60"/>
        <w:jc w:val="left"/>
      </w:pPr>
      <w:r>
        <w:t>(§ 138 InsO) besondere Regelungen:</w:t>
      </w:r>
    </w:p>
    <w:p>
      <w:pPr>
        <w:spacing w:line="259" w:lineRule="auto" w:after="60"/>
        <w:jc w:val="left"/>
      </w:pPr>
      <w:r>
        <w:rPr>
          <w:b/>
        </w:rPr>
        <w:t>Nahestehende Person (§ 138 InsO):</w:t>
      </w:r>
    </w:p>
    <w:p>
      <w:pPr>
        <w:spacing w:line="259" w:lineRule="auto" w:after="60"/>
        <w:jc w:val="left"/>
      </w:pPr>
      <w:r>
        <w:t>§ 138 Abs. 2 Nr. 2 InsO: „Personen, die als Mitglieder des Aufsichtsrats, als Prokuristen</w:t>
      </w:r>
    </w:p>
    <w:p>
      <w:pPr>
        <w:spacing w:line="259" w:lineRule="auto" w:after="60"/>
        <w:jc w:val="left"/>
      </w:pPr>
      <w:r>
        <w:t>oder als gesetzliche Vertreter des Schuldners tätig sind". Bertha Großbach-Riemenschneider</w:t>
      </w:r>
    </w:p>
    <w:p>
      <w:pPr>
        <w:spacing w:line="259" w:lineRule="auto" w:after="60"/>
        <w:jc w:val="left"/>
      </w:pPr>
      <w:r>
        <w:t xml:space="preserve">ist </w:t>
      </w:r>
      <w:r>
        <w:rPr>
          <w:b/>
        </w:rPr>
        <w:t>Geschäftsführerin</w:t>
      </w:r>
      <w:r>
        <w:t xml:space="preserve"> der Komplementär-GmbH → sie ist nahestehende Person im Sinne des</w:t>
      </w:r>
    </w:p>
    <w:p>
      <w:pPr>
        <w:spacing w:line="259" w:lineRule="auto" w:after="60"/>
        <w:jc w:val="left"/>
      </w:pPr>
      <w:r>
        <w:t>§ 138 Abs. 2 Nr. 2 InsO.</w:t>
      </w:r>
    </w:p>
    <w:p>
      <w:pPr>
        <w:spacing w:line="259" w:lineRule="auto" w:after="60"/>
        <w:jc w:val="left"/>
      </w:pPr>
      <w:r>
        <w:t>Darüber hinaus ist sie Tochter von Friedhelm Großbach → § 138 Abs. 1 Nr. 1 InsO</w:t>
      </w:r>
    </w:p>
    <w:p>
      <w:pPr>
        <w:spacing w:line="259" w:lineRule="auto" w:after="60"/>
        <w:jc w:val="left"/>
      </w:pPr>
      <w:r>
        <w:t>(Verwandter ersten Grades in gerader Linie).</w:t>
      </w:r>
    </w:p>
    <w:p>
      <w:pPr>
        <w:spacing w:line="259" w:lineRule="auto" w:after="60"/>
        <w:jc w:val="left"/>
      </w:pPr>
      <w:r>
        <w:rPr>
          <w:b/>
        </w:rPr>
        <w:t>Rechtsfolge bei nahestehenden Personen:</w:t>
      </w:r>
    </w:p>
    <w:p>
      <w:pPr>
        <w:spacing w:line="259" w:lineRule="auto" w:after="60"/>
        <w:jc w:val="left"/>
      </w:pPr>
      <w:r>
        <w:t xml:space="preserve">Bei Rechtshandlungen mit nahestehenden Personen in den letzten </w:t>
      </w:r>
      <w:r>
        <w:rPr>
          <w:b/>
        </w:rPr>
        <w:t>2 Jahren</w:t>
      </w:r>
      <w:r>
        <w:t xml:space="preserve"> vor dem</w:t>
      </w:r>
    </w:p>
    <w:p>
      <w:pPr>
        <w:spacing w:line="259" w:lineRule="auto" w:after="60"/>
        <w:jc w:val="left"/>
      </w:pPr>
      <w:r>
        <w:t xml:space="preserve">Insolvenzantrag wird die Kenntnis des Benachteiligungsvorsatzes </w:t>
      </w:r>
      <w:r>
        <w:rPr>
          <w:b/>
        </w:rPr>
        <w:t>vermutet</w:t>
      </w:r>
      <w:r>
        <w:t xml:space="preserve"> (§ 133 Abs. 2 S. 2 InsO).</w:t>
      </w:r>
    </w:p>
    <w:p>
      <w:pPr>
        <w:spacing w:line="259" w:lineRule="auto" w:after="60"/>
        <w:jc w:val="left"/>
      </w:pPr>
      <w:r>
        <w:t>Die Beweislast dreht sich um: Bertha Großbach-Riemenschneider müsste nachweisen, dass sie</w:t>
      </w:r>
    </w:p>
    <w:p>
      <w:pPr>
        <w:spacing w:line="259" w:lineRule="auto" w:after="60"/>
        <w:jc w:val="left"/>
      </w:pPr>
      <w:r>
        <w:t>den Benachteiligungsvorsatz nicht kannte.</w:t>
      </w:r>
    </w:p>
    <w:p>
      <w:pPr>
        <w:spacing w:line="259" w:lineRule="auto" w:after="60"/>
        <w:jc w:val="left"/>
      </w:pPr>
      <w:r>
        <w:rPr>
          <w:b/>
        </w:rPr>
        <w:t>Benachteiligungsvorsatz der KG:</w:t>
      </w:r>
    </w:p>
    <w:p>
      <w:pPr>
        <w:spacing w:line="259" w:lineRule="auto" w:after="60"/>
        <w:jc w:val="left"/>
      </w:pPr>
      <w:r>
        <w:t>Als Geschäftsführerin der Komplementär-GmbH war Bertha Großbach-Riemenschneider selbst</w:t>
      </w:r>
    </w:p>
    <w:p>
      <w:pPr>
        <w:spacing w:line="259" w:lineRule="auto" w:after="60"/>
        <w:jc w:val="left"/>
      </w:pPr>
      <w:r>
        <w:t>an der Auszahlungsentscheidung beteiligt. Eine klassische Aufspaltung von „Schuldner" und</w:t>
      </w:r>
    </w:p>
    <w:p>
      <w:pPr>
        <w:spacing w:line="259" w:lineRule="auto" w:after="60"/>
        <w:jc w:val="left"/>
      </w:pPr>
      <w:r>
        <w:t>„Empfänger" besteht nur formal. Es ist davon auszugehen, dass sie die Finanzlage kannte.</w:t>
      </w:r>
    </w:p>
    <w:p>
      <w:pPr>
        <w:spacing w:line="259" w:lineRule="auto" w:after="60"/>
        <w:jc w:val="left"/>
      </w:pPr>
      <w:r>
        <w:rPr>
          <w:b/>
        </w:rPr>
        <w:t>Argument gegen Anfechtbarkeit (Gegenvortrag):</w:t>
      </w:r>
    </w:p>
    <w:p>
      <w:pPr>
        <w:pStyle w:val="ListBullet"/>
        <w:spacing w:line="259" w:lineRule="auto" w:after="60"/>
      </w:pPr>
      <w:r>
        <w:t>Der Bonus war vertraglich vereinbart und damit keine freiwillige Zuwendung, sondern</w:t>
      </w:r>
    </w:p>
    <w:p>
      <w:pPr>
        <w:spacing w:line="259" w:lineRule="auto" w:after="60"/>
        <w:jc w:val="left"/>
      </w:pPr>
      <w:r>
        <w:t>Erfüllung einer Verbindlichkeit</w:t>
      </w:r>
    </w:p>
    <w:p>
      <w:pPr>
        <w:pStyle w:val="ListBullet"/>
        <w:spacing w:line="259" w:lineRule="auto" w:after="60"/>
      </w:pPr>
      <w:r>
        <w:t>Gemäß BGH, Urteil vom 10.07.2014 – IX ZR 192/13 sind kongruente Deckungshandlungen</w:t>
      </w:r>
    </w:p>
    <w:p>
      <w:pPr>
        <w:spacing w:line="259" w:lineRule="auto" w:after="60"/>
        <w:jc w:val="left"/>
      </w:pPr>
      <w:r>
        <w:t>(vertragsgemäße Leistung) unter § 133 InsO nur anfechtbar, wenn die subjektiven</w:t>
      </w:r>
    </w:p>
    <w:p>
      <w:pPr>
        <w:spacing w:line="259" w:lineRule="auto" w:after="60"/>
        <w:jc w:val="left"/>
      </w:pPr>
      <w:r>
        <w:t>Voraussetzungen klar bewiesen sind</w:t>
      </w:r>
    </w:p>
    <w:p>
      <w:pPr>
        <w:pStyle w:val="ListBullet"/>
        <w:spacing w:line="259" w:lineRule="auto" w:after="60"/>
      </w:pPr>
      <w:r>
        <w:t>Die Zahlung lag 2,5 Monate vor dem Insolvenzantrag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§ 130 InsO – Kongruente Deckung (hilfsweise)</w:t>
      </w:r>
    </w:p>
    <w:p>
      <w:pPr>
        <w:spacing w:line="259" w:lineRule="auto" w:after="60"/>
        <w:jc w:val="left"/>
      </w:pPr>
      <w:r>
        <w:t>§ 130 Abs. 1 S. 1 Nr. 1 InsO: Anfechtbar ist eine kongruente Deckung, die einem Insolvenz-</w:t>
      </w:r>
    </w:p>
    <w:p>
      <w:pPr>
        <w:spacing w:line="259" w:lineRule="auto" w:after="60"/>
        <w:jc w:val="left"/>
      </w:pPr>
      <w:r>
        <w:t>gläubiger in den letzten 3 Monaten vor Insolvenzantrag gewährt wurde, wenn zur Zeit der</w:t>
      </w:r>
    </w:p>
    <w:p>
      <w:pPr>
        <w:spacing w:line="259" w:lineRule="auto" w:after="60"/>
        <w:jc w:val="left"/>
      </w:pPr>
      <w:r>
        <w:t>Handlung der Schuldner zahlungsunfähig war.</w:t>
      </w:r>
    </w:p>
    <w:p>
      <w:pPr>
        <w:spacing w:line="259" w:lineRule="auto" w:after="60"/>
        <w:jc w:val="left"/>
      </w:pPr>
      <w:r>
        <w:rPr>
          <w:b/>
        </w:rPr>
        <w:t>Prüfung:</w:t>
      </w:r>
      <w:r>
        <w:t xml:space="preserve"> 14.02.2026 liegt außerhalb der 3-Monats-Frist vor dem 05.05.2026 (3 Monate</w:t>
      </w:r>
    </w:p>
    <w:p>
      <w:pPr>
        <w:spacing w:line="259" w:lineRule="auto" w:after="60"/>
        <w:jc w:val="left"/>
      </w:pPr>
      <w:r>
        <w:t xml:space="preserve">zurück = 05.02.2026). </w:t>
      </w:r>
      <w:r>
        <w:rPr>
          <w:b/>
        </w:rPr>
        <w:t>§ 130 InsO greift nicht</w:t>
      </w:r>
      <w:r>
        <w:t xml:space="preserve"> (Zahlung liegt 9 Tage außerhalb des Fensters).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Anfechtungsgrundlage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Einschlägig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Stärke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Prozessrisiko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133 Abs. 1 InsO (Vorsatz)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Möglicherweise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(Nachweis Vorsatz)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133 Abs. 2 InsO (nahestehende Person)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Stark (Vermutung)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135 InsO (Gesellschafterdarlehen)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(kein 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130 InsO (kongruente Deckung)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(außerhalb 3-Monats-Frist)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Empfehlung:</w:t>
      </w:r>
      <w:r>
        <w:t xml:space="preserve"> Die Anfechtungsklage auf Basis von § 133 Abs. 2 InsO i.V.m. § 138 Abs. 1 und 2</w:t>
      </w:r>
    </w:p>
    <w:p>
      <w:pPr>
        <w:spacing w:line="259" w:lineRule="auto" w:after="60"/>
        <w:jc w:val="left"/>
      </w:pPr>
      <w:r>
        <w:t>InsO hat gute Erfolgsaussichten. Anspruch: Rückgewähr des Nettobonusbetrags (12.600 EUR) an</w:t>
      </w:r>
    </w:p>
    <w:p>
      <w:pPr>
        <w:spacing w:line="259" w:lineRule="auto" w:after="60"/>
        <w:jc w:val="left"/>
      </w:pPr>
      <w:r>
        <w:t>die Masse. Der Bruttobetrag (22.000 EUR) ist nur insoweit zurückzugewähren, als er tatsächlich</w:t>
      </w:r>
    </w:p>
    <w:p>
      <w:pPr>
        <w:spacing w:line="259" w:lineRule="auto" w:after="60"/>
        <w:jc w:val="left"/>
      </w:pPr>
      <w:r>
        <w:t>als Nettobetrag ausgekehrt wurde; der an das Finanzamt abgeführte Lohnsteueranteil ist</w:t>
      </w:r>
    </w:p>
    <w:p>
      <w:pPr>
        <w:spacing w:line="259" w:lineRule="auto" w:after="60"/>
        <w:jc w:val="left"/>
      </w:pPr>
      <w:r>
        <w:t>separat zu verfolgen.</w:t>
      </w:r>
    </w:p>
    <w:p>
      <w:pPr>
        <w:spacing w:line="259" w:lineRule="auto" w:after="60"/>
        <w:jc w:val="left"/>
      </w:pPr>
      <w:r>
        <w:rPr>
          <w:b/>
        </w:rPr>
        <w:t>Strategische Abwägung:</w:t>
      </w:r>
      <w:r>
        <w:t xml:space="preserve"> Angesichts des vergleichsweise geringen Betrags (12.600 EUR Netto)</w:t>
      </w:r>
    </w:p>
    <w:p>
      <w:pPr>
        <w:spacing w:line="259" w:lineRule="auto" w:after="60"/>
        <w:jc w:val="left"/>
      </w:pPr>
      <w:r>
        <w:t>und der familiären Situation (Bertha ist maßgebliche Sanierungs-Managerin) empfiehlt sich</w:t>
      </w:r>
    </w:p>
    <w:p>
      <w:pPr>
        <w:spacing w:line="259" w:lineRule="auto" w:after="60"/>
        <w:jc w:val="left"/>
      </w:pPr>
      <w:r>
        <w:t>eine verhandlungsorientierte Lösung statt sofortiger Klage. Vorschlag: Bertha zahlt</w:t>
      </w:r>
    </w:p>
    <w:p>
      <w:pPr>
        <w:spacing w:line="259" w:lineRule="auto" w:after="60"/>
        <w:jc w:val="left"/>
      </w:pPr>
      <w:r>
        <w:t>10.000 EUR freiwillig als Sanierungsbeitrag zurück; die Kanzlei verzichtet auf Klage.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Nächste Schritte</w:t>
      </w:r>
    </w:p>
    <w:p>
      <w:pPr>
        <w:pStyle w:val="ListBullet"/>
        <w:spacing w:line="259" w:lineRule="auto" w:after="60"/>
      </w:pPr>
      <w:r>
        <w:t>Gespräch mit Bertha Großbach-Riemenschneider und separater rechtlicher Beratung</w:t>
      </w:r>
    </w:p>
    <w:p>
      <w:pPr>
        <w:spacing w:line="259" w:lineRule="auto" w:after="60"/>
        <w:jc w:val="left"/>
      </w:pPr>
      <w:r>
        <w:t>(Interessenkonflikt beachten: Kanzlei vertritt KG, nicht Bertha persönlich)</w:t>
      </w:r>
    </w:p>
    <w:p>
      <w:pPr>
        <w:pStyle w:val="ListBullet"/>
        <w:spacing w:line="259" w:lineRule="auto" w:after="60"/>
      </w:pPr>
      <w:r>
        <w:t>Hinweis: Bertha muss sich eigene anwaltliche Beratung holen</w:t>
      </w:r>
    </w:p>
    <w:p>
      <w:pPr>
        <w:pStyle w:val="ListBullet"/>
        <w:spacing w:line="259" w:lineRule="auto" w:after="60"/>
      </w:pPr>
      <w:r>
        <w:t>Entscheidung über Klage oder Vergleich: bis 10. Juni 2026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Prüfungsvermerk: RAin Claudia Feuerbach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Erfurt, 20. Mai 2026</w:t>
      </w:r>
    </w:p>
    <w:p>
      <w:pPr>
        <w:spacing w:line="259" w:lineRule="auto" w:after="60"/>
        <w:jc w:val="left"/>
      </w:pPr>
      <w:r>
        <w:rPr>
          <w:i/>
        </w:rPr>
        <w:t>Rechtsgrundlagen: §§ 129 ff. InsO, dejure.org/gesetze/InsO/133.html, /138.html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