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11 – Krypto-Verwertungsstrategie: 8 BTC auf Bitvavo-Wallet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RA Dr. Maximilian Drosselberg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22. Mai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Klassifizierung:</w:t>
      </w:r>
      <w:r>
        <w:rPr>
          <w:rFonts w:ascii="Times New Roman" w:hAnsi="Times New Roman"/>
          <w:b/>
          <w:sz w:val="22"/>
        </w:rPr>
        <w:t xml:space="preserve"> Vertraulich – Mandantenakte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Ausgangslage</w:t>
      </w:r>
    </w:p>
    <w:p>
      <w:pPr>
        <w:spacing w:line="259" w:lineRule="auto" w:after="60"/>
        <w:jc w:val="left"/>
      </w:pPr>
      <w:r>
        <w:t>Friedhelm Großbach erwarb im Jahr 2022 als privaten Inflations-Hedge acht Bitcoin (8 BTC)</w:t>
      </w:r>
    </w:p>
    <w:p>
      <w:pPr>
        <w:spacing w:line="259" w:lineRule="auto" w:after="60"/>
        <w:jc w:val="left"/>
      </w:pPr>
      <w:r>
        <w:t>über die niederländische Kryptobörse Bitvavo. Die Coins befinden sich auf einer Bitvavo-Wallet</w:t>
      </w:r>
    </w:p>
    <w:p>
      <w:pPr>
        <w:spacing w:line="259" w:lineRule="auto" w:after="60"/>
        <w:jc w:val="left"/>
      </w:pPr>
      <w:r>
        <w:t>unter seinem Namen.</w:t>
      </w:r>
    </w:p>
    <w:p>
      <w:pPr>
        <w:spacing w:line="259" w:lineRule="auto" w:after="60"/>
        <w:jc w:val="left"/>
      </w:pPr>
      <w:r>
        <w:rPr>
          <w:b/>
        </w:rPr>
        <w:t>Aktueller Marktwert (22. April 2026):</w:t>
      </w:r>
    </w:p>
    <w:p>
      <w:pPr>
        <w:spacing w:line="259" w:lineRule="auto" w:after="60"/>
        <w:jc w:val="left"/>
      </w:pPr>
      <w:r>
        <w:t xml:space="preserve">Bitvavo-Kurs: 76.450 EUR/BTC × 8 BTC = </w:t>
      </w:r>
      <w:r>
        <w:rPr>
          <w:b/>
        </w:rPr>
        <w:t>611.600 EUR</w:t>
      </w:r>
    </w:p>
    <w:p>
      <w:pPr>
        <w:spacing w:line="259" w:lineRule="auto" w:after="60"/>
        <w:jc w:val="left"/>
      </w:pPr>
      <w:r>
        <w:rPr>
          <w:b/>
        </w:rPr>
        <w:t>Anschaffungskosten 2022 (Kaufpreis damals):</w:t>
      </w:r>
    </w:p>
    <w:p>
      <w:pPr>
        <w:spacing w:line="259" w:lineRule="auto" w:after="60"/>
        <w:jc w:val="left"/>
      </w:pPr>
      <w:r>
        <w:t>Transaktionshistorie aus dem Bitvavo-Account zeigt: Kauf 8 BTC zu durchschnittlich 25.800 EUR/BTC</w:t>
      </w:r>
    </w:p>
    <w:p>
      <w:pPr>
        <w:spacing w:line="259" w:lineRule="auto" w:after="60"/>
        <w:jc w:val="left"/>
      </w:pPr>
      <w:r>
        <w:t xml:space="preserve">= Anschaffungskosten </w:t>
      </w:r>
      <w:r>
        <w:rPr>
          <w:b/>
        </w:rPr>
        <w:t>206.400 EUR</w:t>
      </w:r>
      <w:r>
        <w:t xml:space="preserve">. Latenter Veräußerungsgewinn: ca. </w:t>
      </w:r>
      <w:r>
        <w:rPr>
          <w:b/>
        </w:rPr>
        <w:t>405.200 EUR</w:t>
      </w:r>
      <w:r>
        <w:t>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Rechtliche Einordnung – Gehören die BTC zur Insolvenzmasse?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Grundsatz</w:t>
      </w:r>
    </w:p>
    <w:p>
      <w:pPr>
        <w:spacing w:line="259" w:lineRule="auto" w:after="60"/>
        <w:jc w:val="left"/>
      </w:pPr>
      <w:r>
        <w:t xml:space="preserve">Die Insolvenzmasse umfasst das gesamte pfändbare Vermögen des </w:t>
      </w:r>
      <w:r>
        <w:rPr>
          <w:b/>
        </w:rPr>
        <w:t>Schuldners</w:t>
      </w:r>
      <w:r>
        <w:t xml:space="preserve"> (§ 35 Abs. 1 InsO).</w:t>
      </w:r>
    </w:p>
    <w:p>
      <w:pPr>
        <w:spacing w:line="259" w:lineRule="auto" w:after="60"/>
        <w:jc w:val="left"/>
      </w:pPr>
      <w:r>
        <w:t>Schuldnerin im Insolvenzverfahren ist die Großbach Druckguss &amp; Präzision GmbH &amp; Co. KG,</w:t>
      </w:r>
    </w:p>
    <w:p>
      <w:pPr>
        <w:spacing w:line="259" w:lineRule="auto" w:after="60"/>
        <w:jc w:val="left"/>
      </w:pPr>
      <w:r>
        <w:t>nicht Friedhelm Großbach persönlich.</w:t>
      </w:r>
    </w:p>
    <w:p>
      <w:pPr>
        <w:spacing w:line="259" w:lineRule="auto" w:after="60"/>
        <w:jc w:val="left"/>
      </w:pPr>
      <w:r>
        <w:rPr>
          <w:b/>
        </w:rPr>
        <w:t>Erste Einschätzung:</w:t>
      </w:r>
      <w:r>
        <w:t xml:space="preserve"> Die 8 BTC befinden sich auf dem Privataccount von Friedhelm Großbach</w:t>
      </w:r>
    </w:p>
    <w:p>
      <w:pPr>
        <w:spacing w:line="259" w:lineRule="auto" w:after="60"/>
        <w:jc w:val="left"/>
      </w:pPr>
      <w:r>
        <w:t xml:space="preserve">und sind grundsätzlich </w:t>
      </w:r>
      <w:r>
        <w:rPr>
          <w:b/>
        </w:rPr>
        <w:t>nicht Teil der Insolvenzmasse der KG</w:t>
      </w:r>
      <w:r>
        <w:t>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 Ausnahmen – Zurechnung zur Masse</w:t>
      </w:r>
    </w:p>
    <w:p>
      <w:pPr>
        <w:spacing w:line="259" w:lineRule="auto" w:after="60"/>
        <w:jc w:val="left"/>
      </w:pPr>
      <w:r>
        <w:t>Die BTC könnten dennoch masserelevant sein, wenn:</w:t>
      </w:r>
    </w:p>
    <w:p>
      <w:pPr>
        <w:spacing w:line="259" w:lineRule="auto" w:after="60"/>
        <w:jc w:val="left"/>
      </w:pPr>
      <w:r>
        <w:rPr>
          <w:b/>
        </w:rPr>
        <w:t>(a) Anschaffungsfinanzierung aus KG-Mitteln:</w:t>
      </w:r>
    </w:p>
    <w:p>
      <w:pPr>
        <w:spacing w:line="259" w:lineRule="auto" w:after="60"/>
        <w:jc w:val="left"/>
      </w:pPr>
      <w:r>
        <w:t>Falls die 206.400 EUR Kaufpreis aus KG-Mitteln geflossen sind (verdeckte Entnahme,</w:t>
      </w:r>
    </w:p>
    <w:p>
      <w:pPr>
        <w:spacing w:line="259" w:lineRule="auto" w:after="60"/>
        <w:jc w:val="left"/>
      </w:pPr>
      <w:r>
        <w:t>Darlehen, nicht buchhalterisch erfasst), wäre der Erwerb der BTC ein anfechtbarer</w:t>
      </w:r>
    </w:p>
    <w:p>
      <w:pPr>
        <w:spacing w:line="259" w:lineRule="auto" w:after="60"/>
        <w:jc w:val="left"/>
      </w:pPr>
      <w:r>
        <w:t xml:space="preserve">Vorgang (§ 133 InsO) oder eine verdeckte Einlagenrückgewähr. </w:t>
      </w:r>
      <w:r>
        <w:rPr>
          <w:b/>
        </w:rPr>
        <w:t>Prüfung:</w:t>
      </w:r>
      <w:r>
        <w:t xml:space="preserve"> Bankauszüge</w:t>
      </w:r>
    </w:p>
    <w:p>
      <w:pPr>
        <w:spacing w:line="259" w:lineRule="auto" w:after="60"/>
        <w:jc w:val="left"/>
      </w:pPr>
      <w:r>
        <w:t>2022 wurden angefordert. Bisher kein Anhaltspunkt für KG-Finanzierung. Großbach gibt an,</w:t>
      </w:r>
    </w:p>
    <w:p>
      <w:pPr>
        <w:spacing w:line="259" w:lineRule="auto" w:after="60"/>
        <w:jc w:val="left"/>
      </w:pPr>
      <w:r>
        <w:t>Privatvermögen verwendet zu haben (Erbe Mutter, 2021).</w:t>
      </w:r>
    </w:p>
    <w:p>
      <w:pPr>
        <w:spacing w:line="259" w:lineRule="auto" w:after="60"/>
        <w:jc w:val="left"/>
      </w:pPr>
      <w:r>
        <w:rPr>
          <w:b/>
        </w:rPr>
        <w:t>(b) Treuhandkonstellation:</w:t>
      </w:r>
    </w:p>
    <w:p>
      <w:pPr>
        <w:spacing w:line="259" w:lineRule="auto" w:after="60"/>
        <w:jc w:val="left"/>
      </w:pPr>
      <w:r>
        <w:t>Keine Hinweise auf Treuhandverhältnis oder KG-Bezug der BTC.</w:t>
      </w:r>
    </w:p>
    <w:p>
      <w:pPr>
        <w:spacing w:line="259" w:lineRule="auto" w:after="60"/>
        <w:jc w:val="left"/>
      </w:pPr>
      <w:r>
        <w:rPr>
          <w:b/>
        </w:rPr>
        <w:t>(c) Insolvenzanfechtung (§ 134 InsO – unentgeltliche Leistung):</w:t>
      </w:r>
    </w:p>
    <w:p>
      <w:pPr>
        <w:spacing w:line="259" w:lineRule="auto" w:after="60"/>
        <w:jc w:val="left"/>
      </w:pPr>
      <w:r>
        <w:t>Nicht einschlägig – kein Vermögensübergang von KG auf Großbach durch BTC-Kauf.</w:t>
      </w:r>
    </w:p>
    <w:p>
      <w:pPr>
        <w:spacing w:line="259" w:lineRule="auto" w:after="60"/>
        <w:jc w:val="left"/>
      </w:pPr>
      <w:r>
        <w:rPr>
          <w:b/>
        </w:rPr>
        <w:t>Ergebnis:</w:t>
      </w:r>
      <w:r>
        <w:t xml:space="preserve"> Die 8 BTC sind nach jetzigem Kenntnisstand </w:t>
      </w:r>
      <w:r>
        <w:rPr>
          <w:b/>
        </w:rPr>
        <w:t>privates Vermögen Friedhelm Großbachs</w:t>
      </w:r>
    </w:p>
    <w:p>
      <w:pPr>
        <w:spacing w:line="259" w:lineRule="auto" w:after="60"/>
        <w:jc w:val="left"/>
      </w:pPr>
      <w:r>
        <w:t>und gehören nicht zur Insolvenzmasse der KG.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Sanierungsrelevanz der BTC</w:t>
      </w:r>
    </w:p>
    <w:p>
      <w:pPr>
        <w:spacing w:line="259" w:lineRule="auto" w:after="60"/>
        <w:jc w:val="left"/>
      </w:pPr>
      <w:r>
        <w:t xml:space="preserve">Obwohl die BTC formell nicht zur Masse gehören, können sie als </w:t>
      </w:r>
      <w:r>
        <w:rPr>
          <w:b/>
        </w:rPr>
        <w:t>freiwilliger Sanierungsbeitrag</w:t>
      </w:r>
    </w:p>
    <w:p>
      <w:pPr>
        <w:spacing w:line="259" w:lineRule="auto" w:after="60"/>
        <w:jc w:val="left"/>
      </w:pPr>
      <w:r>
        <w:t>von Friedhelm Großbach eingesetzt werden. Dies wurde bereits im Sparkassengespräch vom</w:t>
      </w:r>
    </w:p>
    <w:p>
      <w:pPr>
        <w:spacing w:line="259" w:lineRule="auto" w:after="60"/>
        <w:jc w:val="left"/>
      </w:pPr>
      <w:r>
        <w:t>10.05.2026 angedeutet.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3.1 Einbeziehung in den StaRUG-Plan / Schutzschirmplan</w:t>
      </w:r>
    </w:p>
    <w:p>
      <w:pPr>
        <w:spacing w:line="259" w:lineRule="auto" w:after="60"/>
        <w:jc w:val="left"/>
      </w:pPr>
      <w:r>
        <w:t>Der StaRUG-Plan (Aktenstück 05, Teil B) sieht eine „Gesellschaftereinlage" von 600.000 EUR</w:t>
      </w:r>
    </w:p>
    <w:p>
      <w:pPr>
        <w:spacing w:line="259" w:lineRule="auto" w:after="60"/>
        <w:jc w:val="left"/>
      </w:pPr>
      <w:r>
        <w:t>vor. Diese soll durch teilweise oder vollständige Liquidierung der BTC finanziert werden.</w:t>
      </w:r>
    </w:p>
    <w:p>
      <w:pPr>
        <w:spacing w:line="259" w:lineRule="auto" w:after="60"/>
        <w:jc w:val="left"/>
      </w:pPr>
      <w:r>
        <w:rPr>
          <w:b/>
        </w:rPr>
        <w:t>Voraussetzung:</w:t>
      </w:r>
      <w:r>
        <w:t xml:space="preserve"> Friedhelm Großbach muss einem solchen Einsatz seines Privatvermögens</w:t>
      </w:r>
    </w:p>
    <w:p>
      <w:pPr>
        <w:spacing w:line="259" w:lineRule="auto" w:after="60"/>
        <w:jc w:val="left"/>
      </w:pPr>
      <w:r>
        <w:t>zustimmen. Die Kanzlei empfiehlt, diese Einlage im Gesellschafterbeschluss zum StaRUG-Plan</w:t>
      </w:r>
    </w:p>
    <w:p>
      <w:pPr>
        <w:spacing w:line="259" w:lineRule="auto" w:after="60"/>
        <w:jc w:val="left"/>
      </w:pPr>
      <w:r>
        <w:t>förmlich zu vereinbaren.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Verwertungsstrategie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4.1 Steuerliche Vorfragen</w:t>
      </w:r>
    </w:p>
    <w:p>
      <w:pPr>
        <w:spacing w:line="259" w:lineRule="auto" w:after="60"/>
        <w:jc w:val="left"/>
      </w:pPr>
      <w:r>
        <w:t>Gemäß § 23 Abs. 1 S. 1 Nr. 2 EStG ist der Gewinn aus der Veräußerung von Kryptowährungen</w:t>
      </w:r>
    </w:p>
    <w:p>
      <w:pPr>
        <w:spacing w:line="259" w:lineRule="auto" w:after="60"/>
        <w:jc w:val="left"/>
      </w:pPr>
      <w:r>
        <w:t>steuerpflichtig, wenn zwischen Anschaffung und Veräußerung weniger als ein Jahr liegen.</w:t>
      </w:r>
    </w:p>
    <w:p>
      <w:pPr>
        <w:spacing w:line="259" w:lineRule="auto" w:after="60"/>
        <w:jc w:val="left"/>
      </w:pPr>
      <w:r>
        <w:t>Da Friedhelm Großbach die BTC im Jahr 2022 erworben hat und es nunmehr 2026 ist, ist die</w:t>
      </w:r>
    </w:p>
    <w:p>
      <w:pPr>
        <w:spacing w:line="259" w:lineRule="auto" w:after="60"/>
        <w:jc w:val="left"/>
      </w:pPr>
      <w:r>
        <w:rPr>
          <w:b/>
        </w:rPr>
        <w:t>Spekulationsfrist abgelaufen</w:t>
      </w:r>
      <w:r>
        <w:t xml:space="preserve"> → der Veräußerungsgewinn (ca. 405.200 EUR) ist</w:t>
      </w:r>
    </w:p>
    <w:p>
      <w:pPr>
        <w:spacing w:line="259" w:lineRule="auto" w:after="60"/>
        <w:jc w:val="left"/>
      </w:pPr>
      <w:r>
        <w:rPr>
          <w:b/>
        </w:rPr>
        <w:t>steuerfrei</w:t>
      </w:r>
      <w:r>
        <w:t xml:space="preserve"> (§ 23 Abs. 1 S. 1 Nr. 2 EStG, Haltefrist &gt; 1 Jahr).</w:t>
      </w:r>
    </w:p>
    <w:p>
      <w:pPr>
        <w:spacing w:line="259" w:lineRule="auto" w:after="60"/>
        <w:jc w:val="left"/>
      </w:pPr>
      <w:r>
        <w:rPr>
          <w:b/>
        </w:rPr>
        <w:t>Empfehlung:</w:t>
      </w:r>
      <w:r>
        <w:t xml:space="preserve"> Steuerberater Rohland &amp; Schüßler Erfurt zur Bestätigung einschalten.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4.2 Verwertungsoptionen</w:t>
      </w:r>
    </w:p>
    <w:p>
      <w:pPr>
        <w:spacing w:line="259" w:lineRule="auto" w:after="60"/>
        <w:jc w:val="left"/>
      </w:pPr>
      <w:r>
        <w:rPr>
          <w:b/>
        </w:rPr>
        <w:t>Option A – Vollständige Liquidierung (empfohlen):</w:t>
      </w:r>
    </w:p>
    <w:p>
      <w:pPr>
        <w:spacing w:line="259" w:lineRule="auto" w:after="60"/>
        <w:jc w:val="left"/>
      </w:pPr>
      <w:r>
        <w:t>Verkauf aller 8 BTC auf Bitvavo zu Marktpreisen. Aktueller Erlös ca. 611.600 EUR</w:t>
      </w:r>
    </w:p>
    <w:p>
      <w:pPr>
        <w:spacing w:line="259" w:lineRule="auto" w:after="60"/>
        <w:jc w:val="left"/>
      </w:pPr>
      <w:r>
        <w:t>(abzüglich Bitvavo-Transaktionsgebühr ca. 0,25 %: 610.070 EUR). Erlös wird auf Privatkonto</w:t>
      </w:r>
    </w:p>
    <w:p>
      <w:pPr>
        <w:spacing w:line="259" w:lineRule="auto" w:after="60"/>
        <w:jc w:val="left"/>
      </w:pPr>
      <w:r>
        <w:t>Großbach gutgeschrieben; Großbach transferiert vereinbarten Betrag (600.000 EUR) als</w:t>
      </w:r>
    </w:p>
    <w:p>
      <w:pPr>
        <w:spacing w:line="259" w:lineRule="auto" w:after="60"/>
        <w:jc w:val="left"/>
      </w:pPr>
      <w:r>
        <w:t>Einlage in die KG.</w:t>
      </w:r>
    </w:p>
    <w:p>
      <w:pPr>
        <w:spacing w:line="259" w:lineRule="auto" w:after="60"/>
        <w:jc w:val="left"/>
      </w:pPr>
      <w:r>
        <w:rPr>
          <w:b/>
        </w:rPr>
        <w:t>Option B – Teilverkauf (3–4 BTC):</w:t>
      </w:r>
    </w:p>
    <w:p>
      <w:pPr>
        <w:spacing w:line="259" w:lineRule="auto" w:after="60"/>
        <w:jc w:val="left"/>
      </w:pPr>
      <w:r>
        <w:t>Verkauf von 4 BTC = ca. 305.800 EUR. Einlage 300.000 EUR in KG. Restliche 4 BTC</w:t>
      </w:r>
    </w:p>
    <w:p>
      <w:pPr>
        <w:spacing w:line="259" w:lineRule="auto" w:after="60"/>
        <w:jc w:val="left"/>
      </w:pPr>
      <w:r>
        <w:t>behalten (Kurspotenzial). Risiko: Kursrückgang bis zur Ausführung.</w:t>
      </w:r>
    </w:p>
    <w:p>
      <w:pPr>
        <w:spacing w:line="259" w:lineRule="auto" w:after="60"/>
        <w:jc w:val="left"/>
      </w:pPr>
      <w:r>
        <w:rPr>
          <w:b/>
        </w:rPr>
        <w:t>Option C – BTC direkt an Sparkasse:</w:t>
      </w:r>
    </w:p>
    <w:p>
      <w:pPr>
        <w:spacing w:line="259" w:lineRule="auto" w:after="60"/>
        <w:jc w:val="left"/>
      </w:pPr>
      <w:r>
        <w:t>Direkte Übertragung der BTC an die Sparkasse Mittelthüringen zur Kreditreduzierung.</w:t>
      </w:r>
    </w:p>
    <w:p>
      <w:pPr>
        <w:spacing w:line="259" w:lineRule="auto" w:after="60"/>
        <w:jc w:val="left"/>
      </w:pPr>
      <w:r>
        <w:t>Die Sparkasse muss aber BTC als Zahlungsmittel akzeptieren – unwahrscheinlich aufgrund</w:t>
      </w:r>
    </w:p>
    <w:p>
      <w:pPr>
        <w:spacing w:line="259" w:lineRule="auto" w:after="60"/>
        <w:jc w:val="left"/>
      </w:pPr>
      <w:r>
        <w:t>regulatorischer Restriktionen (MaRisk, Kreditwesengesetz).</w:t>
      </w:r>
    </w:p>
    <w:p>
      <w:pPr>
        <w:spacing w:line="259" w:lineRule="auto" w:after="60"/>
        <w:jc w:val="left"/>
      </w:pPr>
      <w:r>
        <w:rPr>
          <w:b/>
        </w:rPr>
        <w:t>Option D – BTC als Sicherheit:</w:t>
      </w:r>
    </w:p>
    <w:p>
      <w:pPr>
        <w:spacing w:line="259" w:lineRule="auto" w:after="60"/>
        <w:jc w:val="left"/>
      </w:pPr>
      <w:r>
        <w:t>BTC als Zusatzsicherheit für die Sparkasse hinterlegen (Verpfändung). Problem:</w:t>
      </w:r>
    </w:p>
    <w:p>
      <w:pPr>
        <w:spacing w:line="259" w:lineRule="auto" w:after="60"/>
        <w:jc w:val="left"/>
      </w:pPr>
      <w:r>
        <w:t>Kryptowährungen sind stark volatil; Banken akzeptieren sie selten als Kreditsicherheit.</w:t>
      </w:r>
    </w:p>
    <w:p>
      <w:pPr>
        <w:spacing w:line="259" w:lineRule="auto" w:after="60"/>
        <w:jc w:val="left"/>
      </w:pPr>
      <w:r>
        <w:rPr>
          <w:b/>
        </w:rPr>
        <w:t>Empfehlung:</w:t>
      </w:r>
      <w:r>
        <w:t xml:space="preserve"> Option A (vollständige Liquidierung) ist die sicherste und schnellste Lösung.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4.3 Ausführung auf Bitvavo</w:t>
      </w:r>
    </w:p>
    <w:p>
      <w:pPr>
        <w:pStyle w:val="ListNumber"/>
        <w:spacing w:line="259" w:lineRule="auto" w:after="60"/>
      </w:pPr>
      <w:r>
        <w:t>Bitvavo-Account-Verifizierung aktuell (KYC vollständig, Identitätsprüfung abgeschlossen)</w:t>
      </w:r>
    </w:p>
    <w:p>
      <w:pPr>
        <w:pStyle w:val="ListNumber"/>
        <w:spacing w:line="259" w:lineRule="auto" w:after="60"/>
      </w:pPr>
      <w:r>
        <w:t>Verkaufsorder: Limit-Order empfohlen (kein Market-Sell bei großen Volumina wegen</w:t>
      </w:r>
    </w:p>
    <w:p>
      <w:pPr>
        <w:spacing w:line="259" w:lineRule="auto" w:after="60"/>
        <w:jc w:val="left"/>
      </w:pPr>
      <w:r>
        <w:t>Slippage-Risiko). In 2–4 Tranchen zu je 2 BTC über 3–5 Handelstage</w:t>
      </w:r>
    </w:p>
    <w:p>
      <w:pPr>
        <w:pStyle w:val="ListNumber"/>
        <w:spacing w:line="259" w:lineRule="auto" w:after="60"/>
      </w:pPr>
      <w:r>
        <w:t>EUR-Überweisung auf Privatkonto Großbach (Bitvavo → IBAN-Überweisung dauert 1–2 Werktage)</w:t>
      </w:r>
    </w:p>
    <w:p>
      <w:pPr>
        <w:pStyle w:val="ListNumber"/>
        <w:spacing w:line="259" w:lineRule="auto" w:after="60"/>
      </w:pPr>
      <w:r>
        <w:t>Von Privatkonto Großbach: Einlagenübertrag auf KG-Konto (notariell beurkunden lassen</w:t>
      </w:r>
    </w:p>
    <w:p>
      <w:pPr>
        <w:spacing w:line="259" w:lineRule="auto" w:after="60"/>
        <w:jc w:val="left"/>
      </w:pPr>
      <w:r>
        <w:t>für Insolvenz-Dokumentation)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Pfändungsschutz / Insolvenzrechtliche Absicherung</w:t>
      </w:r>
    </w:p>
    <w:p>
      <w:pPr>
        <w:spacing w:line="259" w:lineRule="auto" w:after="60"/>
        <w:jc w:val="left"/>
      </w:pPr>
      <w:r>
        <w:t>Da noch kein förmliches Insolvenzverfahren eröffnet wurde (nur Schutzschirmantrag), hat</w:t>
      </w:r>
    </w:p>
    <w:p>
      <w:pPr>
        <w:spacing w:line="259" w:lineRule="auto" w:after="60"/>
        <w:jc w:val="left"/>
      </w:pPr>
      <w:r>
        <w:t>der vorläufige Sachwalter keine Verfügungsbeschränkungen über das Privatvermögen von Großbach.</w:t>
      </w:r>
    </w:p>
    <w:p>
      <w:pPr>
        <w:spacing w:line="259" w:lineRule="auto" w:after="60"/>
        <w:jc w:val="left"/>
      </w:pPr>
      <w:r>
        <w:t>Es besteht keine Gefahr, dass der Verkauf der BTC durch den Sachwalter blockiert wird.</w:t>
      </w:r>
    </w:p>
    <w:p>
      <w:pPr>
        <w:spacing w:line="259" w:lineRule="auto" w:after="60"/>
        <w:jc w:val="left"/>
      </w:pPr>
      <w:r>
        <w:t xml:space="preserve">Nach förmlicher Verfahrenseröffnung würde das </w:t>
      </w:r>
      <w:r>
        <w:rPr>
          <w:b/>
        </w:rPr>
        <w:t>Privatvermögen Großbachs</w:t>
      </w:r>
      <w:r>
        <w:t xml:space="preserve"> als Kommanditist</w:t>
      </w:r>
    </w:p>
    <w:p>
      <w:pPr>
        <w:spacing w:line="259" w:lineRule="auto" w:after="60"/>
        <w:jc w:val="left"/>
      </w:pPr>
      <w:r>
        <w:t>nur insoweit betroffen, als seine Kommanditeinlage nicht vollständig eingezahlt ist.</w:t>
      </w:r>
    </w:p>
    <w:p>
      <w:pPr>
        <w:spacing w:line="259" w:lineRule="auto" w:after="60"/>
        <w:jc w:val="left"/>
      </w:pPr>
      <w:r>
        <w:t>Da laut Gesellschaftsvertrag die Pflichteinlage vollständig erbracht wurde, besteht kein</w:t>
      </w:r>
    </w:p>
    <w:p>
      <w:pPr>
        <w:spacing w:line="259" w:lineRule="auto" w:after="60"/>
        <w:jc w:val="left"/>
      </w:pPr>
      <w:r>
        <w:t>Nachschusspflicht.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6. Dokumentationspflichten</w:t>
      </w:r>
    </w:p>
    <w:p>
      <w:pPr>
        <w:pStyle w:val="ListBullet"/>
        <w:spacing w:line="259" w:lineRule="auto" w:after="60"/>
      </w:pPr>
      <w:r>
        <w:t>Kaufnachweis 2022 (Bitvavo-Transaktionshistorie) sichern</w:t>
      </w:r>
    </w:p>
    <w:p>
      <w:pPr>
        <w:pStyle w:val="ListBullet"/>
        <w:spacing w:line="259" w:lineRule="auto" w:after="60"/>
      </w:pPr>
      <w:r>
        <w:t>Verkaufsnachweis 2026 sichern (für Steuerbefreiung § 23 EStG)</w:t>
      </w:r>
    </w:p>
    <w:p>
      <w:pPr>
        <w:pStyle w:val="ListBullet"/>
        <w:spacing w:line="259" w:lineRule="auto" w:after="60"/>
      </w:pPr>
      <w:r>
        <w:t>Einlagevertrag zwischen Friedhelm Großbach und KG (beurkundet)</w:t>
      </w:r>
    </w:p>
    <w:p>
      <w:pPr>
        <w:pStyle w:val="ListBullet"/>
        <w:spacing w:line="259" w:lineRule="auto" w:after="60"/>
      </w:pPr>
      <w:r>
        <w:t>Weiterleitung der Dokumentation an Sachwalter Dr. Sonnenschein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Bearbeiter: RA Dr. Maximilian Drosselberg</w:t>
      </w:r>
    </w:p>
    <w:p>
      <w:pPr>
        <w:spacing w:line="259" w:lineRule="auto" w:after="60"/>
        <w:jc w:val="left"/>
      </w:pPr>
      <w:r>
        <w:rPr>
          <w:i/>
        </w:rPr>
        <w:t>Drosselberg &amp; Partner Insolvenzrecht, Erfurt, 22. Mai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