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13 – Fristenkalender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Mandantin:</w:t>
      </w:r>
      <w:r>
        <w:rPr>
          <w:rFonts w:ascii="Times New Roman" w:hAnsi="Times New Roman"/>
          <w:b w:val="0"/>
          <w:i w:val="0"/>
          <w:sz w:val="22"/>
        </w:rPr>
        <w:t xml:space="preserve"> Großbach Druckguss &amp; Präzision GmbH &amp; Co. KG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Kanzlei:</w:t>
      </w:r>
      <w:r>
        <w:rPr>
          <w:rFonts w:ascii="Times New Roman" w:hAnsi="Times New Roman"/>
          <w:b/>
          <w:sz w:val="22"/>
        </w:rPr>
        <w:t xml:space="preserve"> Drosselberg &amp; Partner Insolvenzrecht,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Stand:</w:t>
      </w:r>
      <w:r>
        <w:rPr>
          <w:rFonts w:ascii="Times New Roman" w:hAnsi="Times New Roman"/>
          <w:b/>
          <w:sz w:val="22"/>
        </w:rPr>
        <w:t xml:space="preserve"> 25. Mai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RAin Claudia Feuerbach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Übersicht Kritische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Freistaub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 Anfrage Sparkasse für Verhandlung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Übergabe Buchhaltungsunterlagen 2024/2025 (Pabst)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IDW-S-6-fähige Steuerberater-Unterlagen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Liquiditätsplan 13 Wochen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Gesellschafterdarlehen-Rückzahlung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Unterschriften Geschäftsführung Schutzschirmantrag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Einreichung Schutzschirmantrag AG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Eingereicht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Anzeige Restrukturierungssache AG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Eingereicht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Sachwaltervorschlag Dr. Sonnenschein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 Sparkasse (Erstgespräch)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Abgehalten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Beauftragung Immobiliengutachten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Beauftragt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Bitcoin-Aufstellung an Sparkasse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Übermittelt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Vorlage IDW-S-6-Gutachten an Sparkasse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Vorgelegt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Stillhalteabkommen Sparkasse (Standstill)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Unterzeichnet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Bonus Bertha Großbach-Riemenschneider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23.05.2026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Antwortfrist Voß (Gläubigerantrag-Drohung)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Beantwortet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HEUTE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Antwortschreiben an Voß (Sofortangebot)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Abgesandt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Laufende und Kommende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Frist-Typ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Reaktionsfrist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Rückmeldung Voß auf Sofortangebot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Interne Entscheidung Sparkasse DtE-Swap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Sparkasse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02.06.2026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Verhandlung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Folgetermin Sparkasse (Konditionsverhandlung)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Erwartete Bestätigung Schutzschirmbeschluss AG Erfurt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Entscheidung Klage Bertha-Bonus oder Vergleich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Feuerbach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14.06.2026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Verhandlung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Geplanter Termin Aluminium Stade / RA Lauterbach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Lieferant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Antwort Siemens Mobility auf Pönale-Verhandlungsanfrage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Großbach/GF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Sachwalter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Zwischenbericht Sachwalter Dr. Sonnenschein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Sonnenschein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Stillhalte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Ablauf Standstill-Abkommen Sparkasse (verlängerbar)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01.07.2026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StaRUG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Einreichung StaRUG-Planentwurf beim Restrukturierungsgericht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15.07.2026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Geplanter Abstimmungstermin StaRUG-Plan (AG Erfurt 203 RES 7/26)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31.07.2026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Steuer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Stundungsantrag FA Erfurt – Antwort erwartet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Pabst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05.08.2026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GESETZLICH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Ablauf 3-Monats-Schutzschirmfrist (§ 270d Abs. 1 S. 3 InsO)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31.08.2026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Insolvenzgeld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Letzter Tag Insolvenzgeldbeantragung Arbeitnehmer (3-Monats-Rückblick)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Pabst/BA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30.09.2026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Personal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Abschluss Sozialplan / Personalmaßnahmen (Reduktion auf 162 MA)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GF + Betriebsrat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31.10.2026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Sachwalter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Abschlussplan Sachwalter (Vorlage Insolvenzplan)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Sonnenschein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30.11.2026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Steuer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Rückzahlungsstart FA Erfurt (erste Rate nach 6 Mon. Stundung)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Pabst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Gesetzliche Fristen (unveränderlich)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270d Abs. 1 S. 3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Monate ab Anordnung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Schutzschirmfrist (max.); Verlängerung möglich bei Zustimmung Sachwalter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15a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Unverzüglich, max. 3 Wochen (Zahlungsunfähigkeit) / 6 Wochen (Überschuldung)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Insolvenzantragspflicht GF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135 Abs. 1 Nr. 2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Anfechtungsfenster Gesellschafterdarlehen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133 Abs. 1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Anfechtungsfenster Vorsatzanfechtung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130 Abs. 1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Anfechtungsfenster kongruente Deckung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165 ff. SGB III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Insolvenzgeldzeitraum Arbeitnehmer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25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75 % Mehrheit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Planabstimmung (per Gruppe)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Wiedervorlagetermine Kanzlei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 Rückmeldung Voß prüfen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Sparkasse-Folgegespräch 02.06.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 Bonus-Klage Bertha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StaRUG-Plan-Einreichung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Abstimmungstermin 15.07.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Kontrolle: Schutzschirmfrist 05.08.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Fristenkalender – Drosselberg &amp; Partner Insolvenzrecht, Erfurt</w:t>
      </w:r>
    </w:p>
    <w:p>
      <w:pPr>
        <w:spacing w:line="259" w:lineRule="auto" w:after="60"/>
        <w:jc w:val="left"/>
      </w:pPr>
      <w:r>
        <w:rPr>
          <w:i/>
        </w:rPr>
        <w:t>Stand: 25. Mai 2026 – Tägliche Überprüfung durch RAin Feuerbach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