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19 – Sachwalter-Bericht (Vorläufig)</w:t>
      </w:r>
    </w:p>
    <w:p>
      <w:pPr>
        <w:spacing w:line="259" w:lineRule="auto" w:after="60"/>
        <w:jc w:val="left"/>
      </w:pPr>
      <w:r>
        <w:rPr>
          <w:b/>
        </w:rPr>
        <w:t>Vorläufiger Sachwalter:</w:t>
      </w:r>
      <w:r>
        <w:t xml:space="preserve"> RA Dr. Henrik Sonnenschein, Fachanwalt für Insolvenzrecht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Hegelstraße 14, 39104 Magdeburg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Schuldnerin:</w:t>
      </w:r>
      <w:r>
        <w:rPr>
          <w:rFonts w:ascii="Times New Roman" w:hAnsi="Times New Roman"/>
          <w:b/>
          <w:sz w:val="22"/>
        </w:rPr>
        <w:t xml:space="preserve"> Großbach Druckguss &amp; Präzision GmbH &amp; Co. KG, Erfurt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Aktenzeichen:</w:t>
      </w:r>
      <w:r>
        <w:rPr>
          <w:rFonts w:ascii="Times New Roman" w:hAnsi="Times New Roman"/>
          <w:b w:val="0"/>
          <w:i w:val="0"/>
          <w:sz w:val="22"/>
        </w:rPr>
        <w:t xml:space="preserve"> 203 IN 71/26 SA (AG Erfurt)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Berichtsstichtag:</w:t>
      </w:r>
      <w:r>
        <w:rPr>
          <w:rFonts w:ascii="Times New Roman" w:hAnsi="Times New Roman"/>
          <w:b/>
          <w:sz w:val="22"/>
        </w:rPr>
        <w:t xml:space="preserve"> 20. Mai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Adressat:</w:t>
      </w:r>
      <w:r>
        <w:rPr>
          <w:rFonts w:ascii="Times New Roman" w:hAnsi="Times New Roman"/>
          <w:b/>
          <w:sz w:val="22"/>
        </w:rPr>
        <w:t xml:space="preserve"> AG Erfurt – Insolvenzgericht (Richterin Sabine Kern)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1. Bestellungsgrundlage und Auftrag</w:t>
      </w:r>
    </w:p>
    <w:p>
      <w:pPr>
        <w:spacing w:line="259" w:lineRule="auto" w:after="60"/>
        <w:jc w:val="left"/>
      </w:pPr>
      <w:r>
        <w:t xml:space="preserve">Der Unterzeichner wurde durch Beschluss des Amtsgerichts Erfurt vom </w:t>
      </w:r>
      <w:r>
        <w:rPr>
          <w:b/>
        </w:rPr>
        <w:t>07. Mai 2026</w:t>
      </w:r>
    </w:p>
    <w:p>
      <w:pPr>
        <w:spacing w:line="259" w:lineRule="auto" w:after="60"/>
        <w:jc w:val="left"/>
      </w:pPr>
      <w:r>
        <w:t>zum vorläufigen Sachwalter im Schutzschirmverfahren der Großbach Druckguss &amp; Präzision</w:t>
      </w:r>
    </w:p>
    <w:p>
      <w:pPr>
        <w:spacing w:line="259" w:lineRule="auto" w:after="60"/>
        <w:jc w:val="left"/>
      </w:pPr>
      <w:r>
        <w:t>GmbH &amp; Co. KG bestellt. Das Gericht hat angeordnet:</w:t>
      </w:r>
    </w:p>
    <w:p>
      <w:pPr>
        <w:pStyle w:val="ListNumber"/>
        <w:spacing w:line="259" w:lineRule="auto" w:after="60"/>
      </w:pPr>
      <w:r>
        <w:t>Vorläufige Eigenverwaltung der Schuldnerin unter Aufsicht des Sachwalters (§ 270b InsO)</w:t>
      </w:r>
    </w:p>
    <w:p>
      <w:pPr>
        <w:pStyle w:val="ListNumber"/>
        <w:spacing w:line="259" w:lineRule="auto" w:after="60"/>
      </w:pPr>
      <w:r>
        <w:t>Schutzschirm gemäß § 270d InsO; Schutzschirmfrist: 3 Monate (bis 07.08.2026)</w:t>
      </w:r>
    </w:p>
    <w:p>
      <w:pPr>
        <w:pStyle w:val="ListNumber"/>
        <w:spacing w:line="259" w:lineRule="auto" w:after="60"/>
      </w:pPr>
      <w:r>
        <w:t>Vollstreckungssperre gemäß § 21 Abs. 2 S. 1 Nr. 3 InsO für alle laufenden</w:t>
      </w:r>
    </w:p>
    <w:p>
      <w:pPr>
        <w:spacing w:line="259" w:lineRule="auto" w:after="60"/>
        <w:jc w:val="left"/>
      </w:pPr>
      <w:r>
        <w:t>Zwangsvollstreckungsmaßnahmen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Erste Bestandsaufnahme (Stand 20. Mai 2026)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2.1 Betriebsstätte</w:t>
      </w:r>
    </w:p>
    <w:p>
      <w:pPr>
        <w:spacing w:line="259" w:lineRule="auto" w:after="60"/>
        <w:jc w:val="left"/>
      </w:pPr>
      <w:r>
        <w:t>Das Produktionswerk der Schuldnerin in der Anscharstraße 14, 99084 Erfurt umfasst:</w:t>
      </w:r>
    </w:p>
    <w:p>
      <w:pPr>
        <w:pStyle w:val="ListBullet"/>
        <w:spacing w:line="259" w:lineRule="auto" w:after="60"/>
      </w:pPr>
      <w:r>
        <w:rPr>
          <w:b/>
        </w:rPr>
        <w:t>Werk 1</w:t>
      </w:r>
      <w:r>
        <w:t xml:space="preserve"> (Hauptgebäude, Baujahr 1974, saniert 2008): 8.200 m² Produktionsfläche,</w:t>
      </w:r>
    </w:p>
    <w:p>
      <w:pPr>
        <w:spacing w:line="259" w:lineRule="auto" w:after="60"/>
        <w:jc w:val="left"/>
      </w:pPr>
      <w:r>
        <w:t>Druckguss-Hochdruckanlagen (14 Stück, Schließkraft 800–3.500 t), Schmelzöfen</w:t>
      </w:r>
    </w:p>
    <w:p>
      <w:pPr>
        <w:pStyle w:val="ListBullet"/>
        <w:spacing w:line="259" w:lineRule="auto" w:after="60"/>
      </w:pPr>
      <w:r>
        <w:rPr>
          <w:b/>
        </w:rPr>
        <w:t>Werk 2</w:t>
      </w:r>
      <w:r>
        <w:t xml:space="preserve"> (Neubau 2015): 3.400 m² CNC-Bearbeitungszentrum und Qualitätsprüfung</w:t>
      </w:r>
    </w:p>
    <w:p>
      <w:pPr>
        <w:pStyle w:val="ListBullet"/>
        <w:spacing w:line="259" w:lineRule="auto" w:after="60"/>
      </w:pPr>
      <w:r>
        <w:rPr>
          <w:b/>
        </w:rPr>
        <w:t>Verwaltungsgebäude</w:t>
      </w:r>
      <w:r>
        <w:t>: 1.200 m², Büros GF und Verwaltung</w:t>
      </w:r>
    </w:p>
    <w:p>
      <w:pPr>
        <w:spacing w:line="259" w:lineRule="auto" w:after="60"/>
        <w:jc w:val="left"/>
      </w:pPr>
      <w:r>
        <w:rPr>
          <w:b/>
        </w:rPr>
        <w:t>Feststellung:</w:t>
      </w:r>
      <w:r>
        <w:t xml:space="preserve"> Der Betrieb läuft uneingeschränkt. Der Unterzeichner hat am 14. und</w:t>
      </w:r>
    </w:p>
    <w:p>
      <w:pPr>
        <w:pStyle w:val="ListNumber"/>
        <w:spacing w:line="259" w:lineRule="auto" w:after="60"/>
      </w:pPr>
      <w:r>
        <w:t>Mai 2026 Betriebsbesichtigungen durchgeführt. Kein Produktionsstillstand festgestellt.</w:t>
      </w:r>
    </w:p>
    <w:p>
      <w:pPr>
        <w:spacing w:line="259" w:lineRule="auto" w:after="60"/>
        <w:jc w:val="left"/>
      </w:pPr>
      <w:r>
        <w:t>Auftragsbücher sind für Q2/2026 zu 78 % ausgelastet, für Q3/2026 zu 61 %.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2.2 Personalsituation</w:t>
      </w:r>
    </w:p>
    <w:p>
      <w:pPr>
        <w:pStyle w:val="ListBullet"/>
        <w:spacing w:line="259" w:lineRule="auto" w:after="60"/>
      </w:pPr>
      <w:r>
        <w:t>187 Arbeitnehmer (inkl. 12 Leiharbeitskräfte)</w:t>
      </w:r>
    </w:p>
    <w:p>
      <w:pPr>
        <w:pStyle w:val="ListBullet"/>
        <w:spacing w:line="259" w:lineRule="auto" w:after="60"/>
      </w:pPr>
      <w:r>
        <w:t>Betriebsrat: 7 Mitglieder, Vorsitzender Karl-Heinz Möller</w:t>
      </w:r>
    </w:p>
    <w:p>
      <w:pPr>
        <w:pStyle w:val="ListBullet"/>
        <w:spacing w:line="259" w:lineRule="auto" w:after="60"/>
      </w:pPr>
      <w:r>
        <w:t>Gespräch mit Betriebsrat am 15. Mai 2026: Belegschaft ist informiert und kooperativ;</w:t>
      </w:r>
    </w:p>
    <w:p>
      <w:pPr>
        <w:spacing w:line="259" w:lineRule="auto" w:after="60"/>
        <w:jc w:val="left"/>
      </w:pPr>
      <w:r>
        <w:t>Betriebsrat hat Verständnis für Sanierungsnotwendigkeit signalisiert</w:t>
      </w:r>
    </w:p>
    <w:p>
      <w:pPr>
        <w:pStyle w:val="ListBullet"/>
        <w:spacing w:line="259" w:lineRule="auto" w:after="60"/>
      </w:pPr>
      <w:r>
        <w:t>Insolvenzgeldantrag wurde am 12. Mai 2026 durch Pabst bei der Bundesagentur für Arbeit</w:t>
      </w:r>
    </w:p>
    <w:p>
      <w:pPr>
        <w:spacing w:line="259" w:lineRule="auto" w:after="60"/>
        <w:jc w:val="left"/>
      </w:pPr>
      <w:r>
        <w:t>Erfurt gestellt (Referenz-Nr. 2026-EF-INS-3341)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2.3 Buchführung und Rechnungswesen</w:t>
      </w:r>
    </w:p>
    <w:p>
      <w:pPr>
        <w:spacing w:line="259" w:lineRule="auto" w:after="60"/>
        <w:jc w:val="left"/>
      </w:pPr>
      <w:r>
        <w:t>Die Buchführung der Schuldnerin ist ordnungsgemäß. Die Bilanz 2024 (geprüft) und die</w:t>
      </w:r>
    </w:p>
    <w:p>
      <w:pPr>
        <w:spacing w:line="259" w:lineRule="auto" w:after="60"/>
        <w:jc w:val="left"/>
      </w:pPr>
      <w:r>
        <w:t>vorläufige BWA bis April 2026 wurden dem Sachwalter vollständig übergeben.</w:t>
      </w:r>
    </w:p>
    <w:p>
      <w:pPr>
        <w:spacing w:line="259" w:lineRule="auto" w:after="60"/>
        <w:jc w:val="left"/>
      </w:pPr>
      <w:r>
        <w:rPr>
          <w:b/>
        </w:rPr>
        <w:t>Auffälligkeit:</w:t>
      </w:r>
      <w:r>
        <w:t xml:space="preserve"> Die Rückzahlung des Gesellschafterdarlehens (380.000 EUR, 18.01.2026)</w:t>
      </w:r>
    </w:p>
    <w:p>
      <w:pPr>
        <w:spacing w:line="259" w:lineRule="auto" w:after="60"/>
        <w:jc w:val="left"/>
      </w:pPr>
      <w:r>
        <w:t>ist buchhalterisch korrekt erfasst. Der Sachwalter wird die Anfechtungsrelevanz weiter prüfen.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Kassensturz (vorläufig)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Barmittel und Bankguthaben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450.520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Verfügbarer KK-Rahmen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Offene Debitorenforderungen (&lt; 60 Tage)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Vorräte (Aluminiumbarren, Halbfertigprodukte, Fertigwaren)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1.180.000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Maschinen und Anlagen (Zeitwert, vereinfacht)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Grundstück und Gebäude (Schätzwert)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 Aktivmasse (Fortführungswert)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10.482.520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Gesicherte Kreditgläubiger (Sparkasse)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Ungesicherte Verbindlichkeiten (gesamt)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3.890.000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Rückstellungen und sonstige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Geschätzte Passivmasse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9.330.000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Rechnerischer Überschuss (Fortführung)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+1.152.520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Ergebnis:</w:t>
      </w:r>
      <w:r>
        <w:t xml:space="preserve"> Unter Fortführungswerten ist keine Überschuldung feststellbar. Die Sanierungsfähigkeit</w:t>
      </w:r>
    </w:p>
    <w:p>
      <w:pPr>
        <w:spacing w:line="259" w:lineRule="auto" w:after="60"/>
        <w:jc w:val="left"/>
      </w:pPr>
      <w:r>
        <w:t>wird durch diese Zahlen gestützt.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Sachwalter-Stellungnahme zur Eigenverwaltung</w:t>
      </w:r>
    </w:p>
    <w:p>
      <w:pPr>
        <w:spacing w:line="259" w:lineRule="auto" w:after="60"/>
        <w:jc w:val="left"/>
      </w:pPr>
      <w:r>
        <w:t>Der Sachwalter hat gemäß § 274 InsO die Geschäftsführung der Schuldnerin zu überwachen.</w:t>
      </w:r>
    </w:p>
    <w:p>
      <w:pPr>
        <w:spacing w:line="259" w:lineRule="auto" w:after="60"/>
        <w:jc w:val="left"/>
      </w:pPr>
      <w:r>
        <w:t>In diesem Zusammenhang wurden keine Verstöße gegen die Pflichten der Eigenverwaltung</w:t>
      </w:r>
    </w:p>
    <w:p>
      <w:pPr>
        <w:spacing w:line="259" w:lineRule="auto" w:after="60"/>
        <w:jc w:val="left"/>
      </w:pPr>
      <w:r>
        <w:t>festgestellt. Die Geschäftsführung (insbesondere Bertha Großbach-Riemenschneider) agiert</w:t>
      </w:r>
    </w:p>
    <w:p>
      <w:pPr>
        <w:spacing w:line="259" w:lineRule="auto" w:after="60"/>
        <w:jc w:val="left"/>
      </w:pPr>
      <w:r>
        <w:t>transparent und kooperativ.</w:t>
      </w:r>
    </w:p>
    <w:p>
      <w:pPr>
        <w:spacing w:line="259" w:lineRule="auto" w:after="60"/>
        <w:jc w:val="left"/>
      </w:pPr>
      <w:r>
        <w:rPr>
          <w:b/>
        </w:rPr>
        <w:t>Empfehlung des Sachwalters:</w:t>
      </w:r>
      <w:r>
        <w:t xml:space="preserve"> Die Eigenverwaltung sollte aufrechterhalten bleiben.</w:t>
      </w:r>
    </w:p>
    <w:p>
      <w:pPr>
        <w:spacing w:line="259" w:lineRule="auto" w:after="60"/>
        <w:jc w:val="left"/>
      </w:pPr>
      <w:r>
        <w:t>Eine Fremdverwaltung wäre kontraproduktiv, da die Mandantin von der persönlichen</w:t>
      </w:r>
    </w:p>
    <w:p>
      <w:pPr>
        <w:spacing w:line="259" w:lineRule="auto" w:after="60"/>
        <w:jc w:val="left"/>
      </w:pPr>
      <w:r>
        <w:t>Geschäftsbeziehung zu den Hauptkunden (VW Sachsen, MAN Steyr) abhängt.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Ausblick und nächste Schritte (Sachwalter)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Vollständige Gläubigerliste (§ 305 InsO)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Stellungnahme zu StaRUG-Plan-Entwurf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Zweischenbericht an AG Erfurt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Abschlussbericht / Empfehlung Planbestätigung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Vorläufiger Sachwalter: RA Dr. Henrik Sonnenschein, Magdeburg</w:t>
      </w:r>
    </w:p>
    <w:p>
      <w:pPr>
        <w:spacing w:line="259" w:lineRule="auto" w:after="60"/>
        <w:jc w:val="left"/>
      </w:pPr>
      <w:r>
        <w:rPr>
          <w:i/>
        </w:rPr>
        <w:t>Druck: 20. Mai 2026 – Amtsgericht Erfurt, Az. 203 IN 71/26 SA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