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20 – Gesellschafterdarlehen – Vollständige Sachverhaltsrekonstruktion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 Dr. Maximilian Drosselberg / RAin Claudia Feuerbach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22. Mai 2026</w:t>
      </w:r>
    </w:p>
    <w:p>
      <w:pPr>
        <w:spacing w:line="259" w:lineRule="auto" w:after="60"/>
        <w:jc w:val="left"/>
      </w:pPr>
      <w:r>
        <w:rPr>
          <w:b/>
        </w:rPr>
        <w:t>Zweck:</w:t>
      </w:r>
      <w:r>
        <w:t xml:space="preserve"> Vollständige rechtliche und faktische Aufbereitung für Anfechtungsklage / Vergleich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Chronologie des Gesellschafterdarlehens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1.1 Darlehensgewährung 2020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04. September 2020</w:t>
      </w:r>
    </w:p>
    <w:p>
      <w:pPr>
        <w:spacing w:line="259" w:lineRule="auto" w:after="60"/>
        <w:jc w:val="left"/>
      </w:pPr>
      <w:r>
        <w:rPr>
          <w:b/>
        </w:rPr>
        <w:t>Darlehensgeber:</w:t>
      </w:r>
      <w:r>
        <w:t xml:space="preserve"> Friedhelm Großbach (Kommanditist, GF bis 2022)</w:t>
      </w:r>
    </w:p>
    <w:p>
      <w:pPr>
        <w:spacing w:line="259" w:lineRule="auto" w:after="60"/>
        <w:jc w:val="left"/>
      </w:pPr>
      <w:r>
        <w:rPr>
          <w:b/>
        </w:rPr>
        <w:t>Darlehensnehmerin:</w:t>
      </w:r>
      <w:r>
        <w:t xml:space="preserve"> Großbach Druckguss &amp; Präzision GmbH &amp; Co. KG</w:t>
      </w:r>
    </w:p>
    <w:p>
      <w:pPr>
        <w:spacing w:line="259" w:lineRule="auto" w:after="60"/>
        <w:jc w:val="left"/>
      </w:pPr>
      <w:r>
        <w:rPr>
          <w:b/>
        </w:rPr>
        <w:t>Betrag:</w:t>
      </w:r>
      <w:r>
        <w:t xml:space="preserve"> 600.000 EUR</w:t>
      </w:r>
    </w:p>
    <w:p>
      <w:pPr>
        <w:spacing w:line="259" w:lineRule="auto" w:after="60"/>
        <w:jc w:val="left"/>
      </w:pPr>
      <w:r>
        <w:rPr>
          <w:b/>
        </w:rPr>
        <w:t>Zweck:</w:t>
      </w:r>
      <w:r>
        <w:t xml:space="preserve"> Überbrückung von Liquiditätslücken in der COVID-19-Krise</w:t>
      </w:r>
    </w:p>
    <w:p>
      <w:pPr>
        <w:spacing w:line="259" w:lineRule="auto" w:after="60"/>
        <w:jc w:val="left"/>
      </w:pPr>
      <w:r>
        <w:rPr>
          <w:b/>
        </w:rPr>
        <w:t>Zinssatz:</w:t>
      </w:r>
      <w:r>
        <w:t xml:space="preserve"> 3 % p.a. (berechnet auf den jeweils valutierenden Betrag)</w:t>
      </w:r>
    </w:p>
    <w:p>
      <w:pPr>
        <w:spacing w:line="259" w:lineRule="auto" w:after="60"/>
        <w:jc w:val="left"/>
      </w:pPr>
      <w:r>
        <w:rPr>
          <w:b/>
        </w:rPr>
        <w:t>Fälligkeit:</w:t>
      </w:r>
      <w:r>
        <w:t xml:space="preserve"> 31.12.2025 (vertraglich vereinbart) oder auf schriftliche Kündigung</w:t>
      </w:r>
    </w:p>
    <w:p>
      <w:pPr>
        <w:spacing w:line="259" w:lineRule="auto" w:after="60"/>
        <w:jc w:val="left"/>
      </w:pPr>
      <w:r>
        <w:rPr>
          <w:b/>
        </w:rPr>
        <w:t>Buchung KG-Bilanzen:</w:t>
      </w:r>
    </w:p>
    <w:p>
      <w:pPr>
        <w:pStyle w:val="ListBullet"/>
        <w:spacing w:line="259" w:lineRule="auto" w:after="60"/>
      </w:pPr>
      <w:r>
        <w:t>31.12.2020: Verbindlichkeiten ggü. Gesellschaftern: 600.000 EUR</w:t>
      </w:r>
    </w:p>
    <w:p>
      <w:pPr>
        <w:pStyle w:val="ListBullet"/>
        <w:spacing w:line="259" w:lineRule="auto" w:after="60"/>
      </w:pPr>
      <w:r>
        <w:t>31.12.2021: 600.000 EUR (keine Tilgung)</w:t>
      </w:r>
    </w:p>
    <w:p>
      <w:pPr>
        <w:pStyle w:val="ListBullet"/>
        <w:spacing w:line="259" w:lineRule="auto" w:after="60"/>
      </w:pPr>
      <w:r>
        <w:t>31.12.2022: 600.000 EUR (keine Tilgung)</w:t>
      </w:r>
    </w:p>
    <w:p>
      <w:pPr>
        <w:pStyle w:val="ListBullet"/>
        <w:spacing w:line="259" w:lineRule="auto" w:after="60"/>
      </w:pPr>
      <w:r>
        <w:t>31.12.2023: 600.000 EUR (keine Tilgung)</w:t>
      </w:r>
    </w:p>
    <w:p>
      <w:pPr>
        <w:pStyle w:val="ListBullet"/>
        <w:spacing w:line="259" w:lineRule="auto" w:after="60"/>
      </w:pPr>
      <w:r>
        <w:t>31.12.2024: 600.000 EUR (keine Tilgung, aber Zinsen 18.000 EUR jährlich wurden gezahlt)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1.2 Rückzahlung Januar 2026</w:t>
      </w:r>
    </w:p>
    <w:p>
      <w:pPr>
        <w:spacing w:line="259" w:lineRule="auto" w:after="60"/>
        <w:jc w:val="left"/>
      </w:pPr>
      <w:r>
        <w:rPr>
          <w:b/>
        </w:rPr>
        <w:t>Datum der Überweisung:</w:t>
      </w:r>
      <w:r>
        <w:t xml:space="preserve"> 18. Januar 2026</w:t>
      </w:r>
    </w:p>
    <w:p>
      <w:pPr>
        <w:spacing w:line="259" w:lineRule="auto" w:after="60"/>
        <w:jc w:val="left"/>
      </w:pPr>
      <w:r>
        <w:rPr>
          <w:b/>
        </w:rPr>
        <w:t>Betrag:</w:t>
      </w:r>
      <w:r>
        <w:t xml:space="preserve"> 380.000 EUR</w:t>
      </w:r>
    </w:p>
    <w:p>
      <w:pPr>
        <w:spacing w:line="259" w:lineRule="auto" w:after="60"/>
        <w:jc w:val="left"/>
      </w:pPr>
      <w:r>
        <w:rPr>
          <w:b/>
        </w:rPr>
        <w:t>Verwendungszweck laut Kontoauszug:</w:t>
      </w:r>
      <w:r>
        <w:t xml:space="preserve"> „Teilrückzahlung Darlehen GV F. Großbach 09/2020"</w:t>
      </w:r>
    </w:p>
    <w:p>
      <w:pPr>
        <w:spacing w:line="259" w:lineRule="auto" w:after="60"/>
        <w:jc w:val="left"/>
      </w:pPr>
      <w:r>
        <w:rPr>
          <w:b/>
        </w:rPr>
        <w:t>Überweisender:</w:t>
      </w:r>
      <w:r>
        <w:t xml:space="preserve"> Sparkasse Mittelthüringen KK-Konto der KG</w:t>
      </w:r>
    </w:p>
    <w:p>
      <w:pPr>
        <w:spacing w:line="259" w:lineRule="auto" w:after="60"/>
        <w:jc w:val="left"/>
      </w:pPr>
      <w:r>
        <w:rPr>
          <w:b/>
        </w:rPr>
        <w:t>Empfängerkonto:</w:t>
      </w:r>
      <w:r>
        <w:t xml:space="preserve"> Privatgirokonto Friedhelm Großbach</w:t>
      </w:r>
    </w:p>
    <w:p>
      <w:pPr>
        <w:spacing w:line="259" w:lineRule="auto" w:after="60"/>
        <w:jc w:val="left"/>
      </w:pPr>
      <w:r>
        <w:rPr>
          <w:b/>
        </w:rPr>
        <w:t>Nach der Rückzahlung verbliebenes Restdarlehen:</w:t>
      </w:r>
    </w:p>
    <w:p>
      <w:pPr>
        <w:spacing w:line="259" w:lineRule="auto" w:after="60"/>
        <w:jc w:val="left"/>
      </w:pPr>
      <w:r>
        <w:t xml:space="preserve">600.000 EUR – 380.000 EUR = </w:t>
      </w:r>
      <w:r>
        <w:rPr>
          <w:b/>
        </w:rPr>
        <w:t>220.000 EUR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1.3 Situation zum Zeitpunkt der Rückzahlung (18.01.2026)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per 18.01.2026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KK-Linie Sparkasse (nominell)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KK-Inanspruchnahme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3.380.000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Freie KK-Reserve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1.420.000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Überfällige Verbindlichkeiten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~520.000 EUR (Aluminium Stade, sonstiges)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BWA Januar 2026 (vorläufig)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EBITDA ca. -130.000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Eigenkapital (bilanziell, 31.12.2025 vorl.)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+4.200.000 EUR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Schlussfolgerung:</w:t>
      </w:r>
      <w:r>
        <w:t xml:space="preserve"> Zum Zeitpunkt der Rückzahlung war die KG </w:t>
      </w:r>
      <w:r>
        <w:rPr>
          <w:b/>
        </w:rPr>
        <w:t>noch nicht insolvenzreif</w:t>
      </w:r>
      <w:r>
        <w:t>.</w:t>
      </w:r>
    </w:p>
    <w:p>
      <w:pPr>
        <w:spacing w:line="259" w:lineRule="auto" w:after="60"/>
        <w:jc w:val="left"/>
      </w:pPr>
      <w:r>
        <w:t>Zahlungsunfähigkeit lag nicht vor; die freie KK-Reserve von 1,42 Mio. EUR bot kurzfristigen</w:t>
      </w:r>
    </w:p>
    <w:p>
      <w:pPr>
        <w:spacing w:line="259" w:lineRule="auto" w:after="60"/>
        <w:jc w:val="left"/>
      </w:pPr>
      <w:r>
        <w:t>Puffer. Die Rückzahlung war formal möglich.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Rechtliche Einordnung der Rückzahlung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Gesellschafterdarlehen-Eigenart (§ 39 Abs. 1 Nr. 5 InsO)</w:t>
      </w:r>
    </w:p>
    <w:p>
      <w:pPr>
        <w:spacing w:line="259" w:lineRule="auto" w:after="60"/>
        <w:jc w:val="left"/>
      </w:pPr>
      <w:r>
        <w:t>Darlehen eines Gesellschafters an die Gesellschaft sind gemäß § 39 Abs. 1 Nr. 5 InsO</w:t>
      </w:r>
    </w:p>
    <w:p>
      <w:pPr>
        <w:spacing w:line="259" w:lineRule="auto" w:after="60"/>
        <w:jc w:val="left"/>
      </w:pPr>
      <w:r>
        <w:t xml:space="preserve">im Insolvenzfall </w:t>
      </w:r>
      <w:r>
        <w:rPr>
          <w:b/>
        </w:rPr>
        <w:t>nachrangig</w:t>
      </w:r>
      <w:r>
        <w:t xml:space="preserve"> (sie werden erst nach allen anderen Insolvenzgläubigern</w:t>
      </w:r>
    </w:p>
    <w:p>
      <w:pPr>
        <w:spacing w:line="259" w:lineRule="auto" w:after="60"/>
        <w:jc w:val="left"/>
      </w:pPr>
      <w:r>
        <w:t>befriedigt). Die Rückzahlung vor Insolvenz ist aber grundsätzlich erlaubt.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Anfechtung nach § 135 Abs. 1 Nr. 2 InsO (objectiver Tatbestand)</w:t>
      </w:r>
    </w:p>
    <w:p>
      <w:pPr>
        <w:spacing w:line="259" w:lineRule="auto" w:after="60"/>
        <w:jc w:val="left"/>
      </w:pPr>
      <w:r>
        <w:t>Die Rückzahlung erfolgte am 18.01.2026, der Schutzschirmantrag am 05.05.2026.</w:t>
      </w:r>
    </w:p>
    <w:p>
      <w:pPr>
        <w:spacing w:line="259" w:lineRule="auto" w:after="60"/>
        <w:jc w:val="left"/>
      </w:pPr>
      <w:r>
        <w:t xml:space="preserve">Abstand: </w:t>
      </w:r>
      <w:r>
        <w:rPr>
          <w:b/>
        </w:rPr>
        <w:t>107 Tage = ca. 3,5 Monate</w:t>
      </w:r>
      <w:r>
        <w:t xml:space="preserve"> – innerhalb der 12-Monats-Frist des § 135 InsO.</w:t>
      </w:r>
    </w:p>
    <w:p>
      <w:pPr>
        <w:spacing w:line="259" w:lineRule="auto" w:after="60"/>
        <w:jc w:val="left"/>
      </w:pPr>
      <w:r>
        <w:t>Gemäß § 135 Abs. 1 Nr. 2 InsO ist die Rückzahlung anfechtbar **ohne Rücksicht auf</w:t>
      </w:r>
    </w:p>
    <w:p>
      <w:pPr>
        <w:spacing w:line="259" w:lineRule="auto" w:after="60"/>
        <w:jc w:val="left"/>
      </w:pPr>
      <w:r>
        <w:t>subjektive Elemente** (kein Vorsatz- oder Kenntnis-Erfordernis beim Empfänger).</w:t>
      </w:r>
    </w:p>
    <w:p>
      <w:pPr>
        <w:spacing w:line="259" w:lineRule="auto" w:after="60"/>
        <w:jc w:val="left"/>
      </w:pPr>
      <w:r>
        <w:t>→ Der Anfechtungsanspruch ist dem Grunde nach gegeben.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2.3 Anfechtung nach § 133 Abs. 1 InsO (Vorsatzanfechtung)</w:t>
      </w:r>
    </w:p>
    <w:p>
      <w:pPr>
        <w:spacing w:line="259" w:lineRule="auto" w:after="60"/>
        <w:jc w:val="left"/>
      </w:pPr>
      <w:r>
        <w:t>Für § 133 InsO sind folgende subjektive Tatbestandsmerkmale zu prüfen:</w:t>
      </w:r>
    </w:p>
    <w:p>
      <w:pPr>
        <w:spacing w:line="259" w:lineRule="auto" w:after="60"/>
        <w:jc w:val="left"/>
      </w:pPr>
      <w:r>
        <w:rPr>
          <w:b/>
        </w:rPr>
        <w:t>a) Benachteiligungsvorsatz der KG:</w:t>
      </w:r>
    </w:p>
    <w:p>
      <w:pPr>
        <w:spacing w:line="259" w:lineRule="auto" w:after="60"/>
        <w:jc w:val="left"/>
      </w:pPr>
      <w:r>
        <w:t>Leitfrage: Wussten die Geschäftsführer, dass die Rückzahlung die späteren Insolvenzgläubiger</w:t>
      </w:r>
    </w:p>
    <w:p>
      <w:pPr>
        <w:spacing w:line="259" w:lineRule="auto" w:after="60"/>
        <w:jc w:val="left"/>
      </w:pPr>
      <w:r>
        <w:t>benachteiligen würde?</w:t>
      </w:r>
    </w:p>
    <w:p>
      <w:pPr>
        <w:spacing w:line="259" w:lineRule="auto" w:after="60"/>
        <w:jc w:val="left"/>
      </w:pPr>
      <w:r>
        <w:t>Indizien PRO Vorsatz:</w:t>
      </w:r>
    </w:p>
    <w:p>
      <w:pPr>
        <w:pStyle w:val="ListBullet"/>
        <w:spacing w:line="259" w:lineRule="auto" w:after="60"/>
      </w:pPr>
      <w:r>
        <w:t>Überfällige Verbindlichkeiten gegenüber Aluminium Stade bestanden bereits</w:t>
      </w:r>
    </w:p>
    <w:p>
      <w:pPr>
        <w:pStyle w:val="ListBullet"/>
        <w:spacing w:line="259" w:lineRule="auto" w:after="60"/>
      </w:pPr>
      <w:r>
        <w:t>BWA Dezember 2025 zeigte negatives Ergebnis</w:t>
      </w:r>
    </w:p>
    <w:p>
      <w:pPr>
        <w:pStyle w:val="ListBullet"/>
        <w:spacing w:line="259" w:lineRule="auto" w:after="60"/>
      </w:pPr>
      <w:r>
        <w:t>Rückzahlung kurz vor Vertragsablauf (31.12.2025) – „Wettlauf mit dem Insolvenzantrag"</w:t>
      </w:r>
    </w:p>
    <w:p>
      <w:pPr>
        <w:pStyle w:val="ListBullet"/>
        <w:spacing w:line="259" w:lineRule="auto" w:after="60"/>
      </w:pPr>
      <w:r>
        <w:t>Friedhelm Großbach selbst (einer der Schuldner-GF) ist Empfänger</w:t>
      </w:r>
    </w:p>
    <w:p>
      <w:pPr>
        <w:spacing w:line="259" w:lineRule="auto" w:after="60"/>
        <w:jc w:val="left"/>
      </w:pPr>
      <w:r>
        <w:t>Indizien GEGEN Vorsatz:</w:t>
      </w:r>
    </w:p>
    <w:p>
      <w:pPr>
        <w:pStyle w:val="ListBullet"/>
        <w:spacing w:line="259" w:lineRule="auto" w:after="60"/>
      </w:pPr>
      <w:r>
        <w:t>Vertragsgemäße Fälligkeit war 31.12.2025 – Rückzahlung war geschuldet</w:t>
      </w:r>
    </w:p>
    <w:p>
      <w:pPr>
        <w:pStyle w:val="ListBullet"/>
        <w:spacing w:line="259" w:lineRule="auto" w:after="60"/>
      </w:pPr>
      <w:r>
        <w:t>KK-Reserve war noch vorhanden</w:t>
      </w:r>
    </w:p>
    <w:p>
      <w:pPr>
        <w:pStyle w:val="ListBullet"/>
        <w:spacing w:line="259" w:lineRule="auto" w:after="60"/>
      </w:pPr>
      <w:r>
        <w:t>Keine Kenntnis der bevorstehenden KK-Kürzung (Sparkassen-Schreiben erst 15.04.2026)</w:t>
      </w:r>
    </w:p>
    <w:p>
      <w:pPr>
        <w:spacing w:line="259" w:lineRule="auto" w:after="60"/>
        <w:jc w:val="left"/>
      </w:pPr>
      <w:r>
        <w:rPr>
          <w:b/>
        </w:rPr>
        <w:t>b) Kenntnis Friedhelm Großbach (Empfänger):</w:t>
      </w:r>
    </w:p>
    <w:p>
      <w:pPr>
        <w:spacing w:line="259" w:lineRule="auto" w:after="60"/>
        <w:jc w:val="left"/>
      </w:pPr>
      <w:r>
        <w:t>Als (früherer) Geschäftsführer und aktiver Kommanditist hatte er detaillierte Kenntnis der</w:t>
      </w:r>
    </w:p>
    <w:p>
      <w:pPr>
        <w:spacing w:line="259" w:lineRule="auto" w:after="60"/>
        <w:jc w:val="left"/>
      </w:pPr>
      <w:r>
        <w:t>Finanzlage. Kongruente Leistung (vertragsgemäße Tilgung) schließt Anfechtung nicht aus, wenn</w:t>
      </w:r>
    </w:p>
    <w:p>
      <w:pPr>
        <w:spacing w:line="259" w:lineRule="auto" w:after="60"/>
        <w:jc w:val="left"/>
      </w:pPr>
      <w:r>
        <w:t>Benachteiligungsvorsatz nachgewiesen wird.</w:t>
      </w:r>
    </w:p>
    <w:p>
      <w:pPr>
        <w:spacing w:line="259" w:lineRule="auto" w:after="60"/>
        <w:jc w:val="left"/>
      </w:pPr>
      <w:r>
        <w:rPr>
          <w:b/>
        </w:rPr>
        <w:t>Bewertung:</w:t>
      </w:r>
      <w:r>
        <w:t xml:space="preserve"> § 133 InsO hat mittlere Erfolgschancen (60/40 zugunsten der Anfechtung).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Vergleichsoptionen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Option A – Außergerichtliche Einigung (bevorzugt)</w:t>
      </w:r>
    </w:p>
    <w:p>
      <w:pPr>
        <w:spacing w:line="259" w:lineRule="auto" w:after="60"/>
        <w:jc w:val="left"/>
      </w:pPr>
      <w:r>
        <w:t>Rückzahlung von 300.000 EUR durch Friedhelm Großbach an die Insolvenzmasse in zwei Raten:</w:t>
      </w:r>
    </w:p>
    <w:p>
      <w:pPr>
        <w:pStyle w:val="ListBullet"/>
        <w:spacing w:line="259" w:lineRule="auto" w:after="60"/>
      </w:pPr>
      <w:r>
        <w:rPr>
          <w:b/>
        </w:rPr>
        <w:t>Rate 1:</w:t>
      </w:r>
      <w:r>
        <w:t xml:space="preserve"> 150.000 EUR sofort (aus BTC-Erlösen, Juni 2026)</w:t>
      </w:r>
    </w:p>
    <w:p>
      <w:pPr>
        <w:pStyle w:val="ListBullet"/>
        <w:spacing w:line="259" w:lineRule="auto" w:after="60"/>
      </w:pPr>
      <w:r>
        <w:rPr>
          <w:b/>
        </w:rPr>
        <w:t>Rate 2:</w:t>
      </w:r>
      <w:r>
        <w:t xml:space="preserve"> 150.000 EUR 6 Monate später (Dezember 2026)</w:t>
      </w:r>
    </w:p>
    <w:p>
      <w:pPr>
        <w:spacing w:line="259" w:lineRule="auto" w:after="60"/>
        <w:jc w:val="left"/>
      </w:pPr>
      <w:r>
        <w:t>Verzicht auf Zinsen (23.750 EUR).</w:t>
      </w:r>
    </w:p>
    <w:p>
      <w:pPr>
        <w:spacing w:line="259" w:lineRule="auto" w:after="60"/>
        <w:jc w:val="left"/>
      </w:pPr>
      <w:r>
        <w:t>Verbleibender Anfechtungsrest (80.000 EUR) wird mit dem Restdarlehen (220.000 EUR, Rangrücktritt</w:t>
      </w:r>
    </w:p>
    <w:p>
      <w:pPr>
        <w:spacing w:line="259" w:lineRule="auto" w:after="60"/>
        <w:jc w:val="left"/>
      </w:pPr>
      <w:r>
        <w:t>bis 2030) verrechnet.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Option B – Klage vor LG Erfurt (Az. 3 O 116/26)</w:t>
      </w:r>
    </w:p>
    <w:p>
      <w:pPr>
        <w:spacing w:line="259" w:lineRule="auto" w:after="60"/>
        <w:jc w:val="left"/>
      </w:pPr>
      <w:r>
        <w:t>Antrag auf Rückzahlung 380.000 EUR zzgl. Zinsen 23.750 EUR = 403.750 EUR.</w:t>
      </w:r>
    </w:p>
    <w:p>
      <w:pPr>
        <w:spacing w:line="259" w:lineRule="auto" w:after="60"/>
        <w:jc w:val="left"/>
      </w:pPr>
      <w:r>
        <w:t>Streitwert: 403.750 EUR; Gerichtskosten: ca. 5.900 EUR (3. Instanz); Anwaltsgebühren: ca.</w:t>
      </w:r>
    </w:p>
    <w:p>
      <w:pPr>
        <w:spacing w:line="259" w:lineRule="auto" w:after="60"/>
        <w:jc w:val="left"/>
      </w:pPr>
      <w:r>
        <w:t>11.600 EUR pro Seite (RVG, VV 3100, 3200, 3104). Prozesskostennachteile bei Niederlage.</w:t>
      </w:r>
    </w:p>
    <w:p>
      <w:pPr>
        <w:spacing w:line="259" w:lineRule="auto" w:after="60"/>
        <w:jc w:val="left"/>
      </w:pPr>
      <w:r>
        <w:rPr>
          <w:b/>
        </w:rPr>
        <w:t>Dauer:</w:t>
      </w:r>
      <w:r>
        <w:t xml:space="preserve"> Schätzungsweise 12–18 Monate bis Urteil LG Erfurt (inkl. Beweisaufnahme).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Empfehlung</w:t>
      </w:r>
    </w:p>
    <w:p>
      <w:pPr>
        <w:spacing w:line="259" w:lineRule="auto" w:after="60"/>
        <w:jc w:val="left"/>
      </w:pPr>
      <w:r>
        <w:t>Option A bevorzugen. Der Zeitgewinn und die Sicherheit des Vergleiches überwiegen gegenüber</w:t>
      </w:r>
    </w:p>
    <w:p>
      <w:pPr>
        <w:spacing w:line="259" w:lineRule="auto" w:after="60"/>
        <w:jc w:val="left"/>
      </w:pPr>
      <w:r>
        <w:t>dem Prozesskostenrisiko. Außerdem hat Friedhelm Großbach eine zentrale Rolle im Sanierungsprozess –</w:t>
      </w:r>
    </w:p>
    <w:p>
      <w:pPr>
        <w:spacing w:line="259" w:lineRule="auto" w:after="60"/>
        <w:jc w:val="left"/>
      </w:pPr>
      <w:r>
        <w:t>ein Rechtsstreit würde das familiäre und unternehmerische Verhältnis erheblich belasten.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Erstellt von: RA Dr. Maximilian Drosselberg, RAin Claudia Feuerbach</w:t>
      </w:r>
    </w:p>
    <w:p>
      <w:pPr>
        <w:spacing w:line="259" w:lineRule="auto" w:after="60"/>
        <w:jc w:val="left"/>
      </w:pPr>
      <w:r>
        <w:rPr>
          <w:i/>
        </w:rPr>
        <w:t>Drosselberg &amp; Partner Insolvenzrecht, Erfurt, 22. Mai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