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22 – Abschlusszusammenfassung und Verfahrensstand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Mandantin:</w:t>
      </w:r>
      <w:r>
        <w:rPr>
          <w:rFonts w:ascii="Times New Roman" w:hAnsi="Times New Roman"/>
          <w:b w:val="0"/>
          <w:i w:val="0"/>
          <w:sz w:val="22"/>
        </w:rPr>
        <w:t xml:space="preserve"> Großbach Druckguss &amp; Präzision GmbH &amp; Co. KG, Erfurt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Kanzlei:</w:t>
      </w:r>
      <w:r>
        <w:rPr>
          <w:rFonts w:ascii="Times New Roman" w:hAnsi="Times New Roman"/>
          <w:b/>
          <w:sz w:val="22"/>
        </w:rPr>
        <w:t xml:space="preserve"> Drosselberg &amp; Partner Insolvenzrecht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 Dr. Maximilian Drosselberg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30. Juni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Verfahrensstand:</w:t>
      </w:r>
      <w:r>
        <w:rPr>
          <w:rFonts w:ascii="Times New Roman" w:hAnsi="Times New Roman"/>
          <w:b/>
          <w:sz w:val="22"/>
        </w:rPr>
        <w:t xml:space="preserve"> Ende Phase 1 (Stabilisierung)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Verfahrensübersicht – Was wurde erreicht?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1.1 Schutzschirmverfahren (203 IN 71/26 SA)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Einreichung Schutzschirmantrag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Gerichtsbeschluss (Schutzschirmanordnung)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Bestellung Sachwalter Dr. Sonnenschein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Vollstreckungssperre angeordnet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Sachwalter-Zwischenbericht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 konstituiert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Schutzschirmfrist läuft bis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07.08.2026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AKTIV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1.2 Restrukturierungssache StaRUG (203 RES 7/26)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Anzeige Restrukturierungssache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Stabilisierungsanordnung beantragt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Planentwurf erstellt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Vorprüfung § 46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(positiv)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Abstimmungstermin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15.07.2026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BEVORSTEHEND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1.3 Anfechtungssache (3 O 116/26 LG Erfurt)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Gesellschafterdarlehen Friedhelm Großbach (380 TEUR)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Außergerichtliche Einigung angestrebt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Angebot 300 TEUR in 2 Raten – Reaktion 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Bonus Bertha Großbach-Riemenschneider (22 TEUR netto)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Verhandlung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Bertha konsultiert eigenen Anwalt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Gläubiger – Stand der Einigungen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Vereinbarung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 Mittelthüringen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4.800.000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DtE-Swap 2 Mio. + Rangrücktritt + Tilgung; Vertrag in Bearbeitung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Fast einig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Aluminium Stade / RA Lauterbach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890.000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20 % Verzicht + 80 % Raten; Sofortzahlung 80 TEUR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Magnesium Voß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Sofortzahlung 50 TEUR zugesagt; Voß fordert mehr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Stundungsantrag genehmigt (12 Monate)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Siemens Mobility (Pönale)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Verhandlung läuft; Angebot 250 TEUR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Operative Sanierungsmaßnahmen – Umsetzungsstand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Insolvenzgeld (Bundesagentur für Arbeit)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1.869.000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Beantragt 12.05.; Bewilligungsbescheid 28.05.2026 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Factoring Eurofactor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 unterzeichnet 27.05.; Erstbetrag 650.000 EUR ausgezahlt 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BTC-Liquidierung (8 BTC)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600.000 EUR Einlage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Vorbereitung; Steuerberater eingeschaltet; Verkauf geplant 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Maschinenverkauf (3 Anlagen)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Kaufinteressenten identifiziert (2 Anlagen); Notartermin 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Personalreduzierung 187 → 162 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-910.000 EUR p.a.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Sozialplan mit Betriebsrat in Verhandlung; Abschluss September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Kurzarbeit (40 MA, 6 Monate)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-340.000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Kurzarbeit-Antrag 22.05.2026 gestellt; Genehmigung erwartet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Energiekostenoptimierung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-480.000 EUR p.a.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PV-Anlage-Angebote eingeholt; Auftragsvergabe Q3/2026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Finanzielle Gesamtbilanz der Sanierung (Zwischenstand)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Liquiditätseffekt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Zeithorizont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+1.869.000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Mai–Juli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Factoring-Erstbetrag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+650.000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BTC-Einlage (geplant)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+600.000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Maschinenverkauf (erwartet)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+1.200.000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Sparkasse Standstill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Zeitpuffer 4.800.000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30.09.2026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Debt-to-Equity-Swap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Reduktion Schulden 2.000.000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Q3/2026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Gesamtentlastung bis Ende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+6.319.000</w:t>
            </w:r>
          </w:p>
        </w:tc>
        <w:tc>
          <w:tcPr>
            <w:tcW w:type="dxa" w:w="3024"/>
          </w:tcPr>
          <w:p/>
        </w:tc>
      </w:tr>
    </w:tbl>
    <w:p>
      <w:pPr>
        <w:spacing w:line="259" w:lineRule="auto" w:after="60"/>
        <w:jc w:val="left"/>
      </w:pPr>
      <w:r>
        <w:rPr>
          <w:b/>
        </w:rPr>
        <w:t>Gesamte Sanierungslücke (ursprünglich):</w:t>
      </w:r>
      <w:r>
        <w:t xml:space="preserve"> ca. 4.500.000 EUR</w:t>
      </w:r>
    </w:p>
    <w:p>
      <w:pPr>
        <w:spacing w:line="259" w:lineRule="auto" w:after="60"/>
        <w:jc w:val="left"/>
      </w:pPr>
      <w:r>
        <w:rPr>
          <w:b/>
        </w:rPr>
        <w:t>Gesamtentlastung bis Ende 2026:</w:t>
      </w:r>
      <w:r>
        <w:t xml:space="preserve"> ca. 6.319.000 EUR</w:t>
      </w:r>
    </w:p>
    <w:p>
      <w:pPr>
        <w:spacing w:line="259" w:lineRule="auto" w:after="60"/>
        <w:jc w:val="left"/>
      </w:pPr>
      <w:r>
        <w:rPr>
          <w:b/>
        </w:rPr>
        <w:t>Sicherheitspuffer:</w:t>
      </w:r>
      <w:r>
        <w:t xml:space="preserve"> ca. 1.819.000 EUR</w:t>
      </w:r>
    </w:p>
    <w:p>
      <w:pPr>
        <w:spacing w:line="259" w:lineRule="auto" w:after="60"/>
        <w:jc w:val="left"/>
      </w:pPr>
      <w:r>
        <w:rPr>
          <w:b/>
        </w:rPr>
        <w:t>Bewertung:</w:t>
      </w:r>
      <w:r>
        <w:t xml:space="preserve"> Der Sanierungsplan ist im Basisszenario durchführbar. Der Sicherheitspuffer</w:t>
      </w:r>
    </w:p>
    <w:p>
      <w:pPr>
        <w:spacing w:line="259" w:lineRule="auto" w:after="60"/>
        <w:jc w:val="left"/>
      </w:pPr>
      <w:r>
        <w:t>ist ausreichend, um das pessimistische Szenario (Pönale Siemens 1,2 Mio., Maschinenverkauf</w:t>
      </w:r>
    </w:p>
    <w:p>
      <w:pPr>
        <w:spacing w:line="259" w:lineRule="auto" w:after="60"/>
        <w:jc w:val="left"/>
      </w:pPr>
      <w:r>
        <w:t>teilweise verzögert) aufzufangen.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Ausblick</w:t>
      </w:r>
    </w:p>
    <w:p>
      <w:pPr>
        <w:spacing w:line="259" w:lineRule="auto" w:after="60"/>
        <w:jc w:val="left"/>
      </w:pPr>
      <w:r>
        <w:rPr>
          <w:b/>
        </w:rPr>
        <w:t>Juli 2026:</w:t>
      </w:r>
    </w:p>
    <w:p>
      <w:pPr>
        <w:pStyle w:val="ListBullet"/>
        <w:spacing w:line="259" w:lineRule="auto" w:after="60"/>
      </w:pPr>
      <w:r>
        <w:t>Abstimmungstermin StaRUG-Plan 15.07.</w:t>
      </w:r>
    </w:p>
    <w:p>
      <w:pPr>
        <w:pStyle w:val="ListBullet"/>
        <w:spacing w:line="259" w:lineRule="auto" w:after="60"/>
      </w:pPr>
      <w:r>
        <w:t>Sachwalter-Abschlussbericht 01.08.</w:t>
      </w:r>
    </w:p>
    <w:p>
      <w:pPr>
        <w:pStyle w:val="ListBullet"/>
        <w:spacing w:line="259" w:lineRule="auto" w:after="60"/>
      </w:pPr>
      <w:r>
        <w:t>BTC-Liquidierung</w:t>
      </w:r>
    </w:p>
    <w:p>
      <w:pPr>
        <w:pStyle w:val="ListBullet"/>
        <w:spacing w:line="259" w:lineRule="auto" w:after="60"/>
      </w:pPr>
      <w:r>
        <w:t>Maschinenverkauf Notartermin</w:t>
      </w:r>
    </w:p>
    <w:p>
      <w:pPr>
        <w:spacing w:line="259" w:lineRule="auto" w:after="60"/>
        <w:jc w:val="left"/>
      </w:pPr>
      <w:r>
        <w:rPr>
          <w:b/>
        </w:rPr>
        <w:t>August 2026:</w:t>
      </w:r>
    </w:p>
    <w:p>
      <w:pPr>
        <w:pStyle w:val="ListBullet"/>
        <w:spacing w:line="259" w:lineRule="auto" w:after="60"/>
      </w:pPr>
      <w:r>
        <w:t>Ende Schutzschirmfrist 07.08. → Planbestätigung oder Übergang reguläres Verfahren</w:t>
      </w:r>
    </w:p>
    <w:p>
      <w:pPr>
        <w:pStyle w:val="ListBullet"/>
        <w:spacing w:line="259" w:lineRule="auto" w:after="60"/>
      </w:pPr>
      <w:r>
        <w:t>Personalmaßnahmen abgeschlossen</w:t>
      </w:r>
    </w:p>
    <w:p>
      <w:pPr>
        <w:spacing w:line="259" w:lineRule="auto" w:after="60"/>
        <w:jc w:val="left"/>
      </w:pPr>
      <w:r>
        <w:rPr>
          <w:b/>
        </w:rPr>
        <w:t>2027:</w:t>
      </w:r>
    </w:p>
    <w:p>
      <w:pPr>
        <w:pStyle w:val="ListBullet"/>
        <w:spacing w:line="259" w:lineRule="auto" w:after="60"/>
      </w:pPr>
      <w:r>
        <w:t>KG kehrt zu positiver Liquidität zurück</w:t>
      </w:r>
    </w:p>
    <w:p>
      <w:pPr>
        <w:pStyle w:val="ListBullet"/>
        <w:spacing w:line="259" w:lineRule="auto" w:after="60"/>
      </w:pPr>
      <w:r>
        <w:t>Neue Kundenakquisition E-Mobility läuft an</w:t>
      </w:r>
    </w:p>
    <w:p>
      <w:pPr>
        <w:pStyle w:val="ListBullet"/>
        <w:spacing w:line="259" w:lineRule="auto" w:after="60"/>
      </w:pPr>
      <w:r>
        <w:t>Sparkasse-Tilgungsraten beginnen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Kanzlei-Schlussbemerkung</w:t>
      </w:r>
    </w:p>
    <w:p>
      <w:pPr>
        <w:spacing w:line="259" w:lineRule="auto" w:after="60"/>
        <w:jc w:val="left"/>
      </w:pPr>
      <w:r>
        <w:t>Das Mandat Großbach ist eines der komplexesten Insolvenz-Sanierungsmandate, die Drosselberg</w:t>
      </w:r>
    </w:p>
    <w:p>
      <w:pPr>
        <w:spacing w:line="259" w:lineRule="auto" w:after="60"/>
        <w:jc w:val="left"/>
      </w:pPr>
      <w:r>
        <w:t>&amp; Partner in den letzten fünf Jahren bearbeitet hat. Die Kombination aus StaRUG-Verfahren,</w:t>
      </w:r>
    </w:p>
    <w:p>
      <w:pPr>
        <w:spacing w:line="259" w:lineRule="auto" w:after="60"/>
        <w:jc w:val="left"/>
      </w:pPr>
      <w:r>
        <w:t>Schutzschirmverfahren, Anfechtungsansprüchen und der Krypto-Verwertung hat juristische</w:t>
      </w:r>
    </w:p>
    <w:p>
      <w:pPr>
        <w:spacing w:line="259" w:lineRule="auto" w:after="60"/>
        <w:jc w:val="left"/>
      </w:pPr>
      <w:r>
        <w:t>Neuland-Fragen aufgeworfen, insbesondere zur steuerlichen Behandlung und zur Massezugehörigkeit</w:t>
      </w:r>
    </w:p>
    <w:p>
      <w:pPr>
        <w:spacing w:line="259" w:lineRule="auto" w:after="60"/>
        <w:jc w:val="left"/>
      </w:pPr>
      <w:r>
        <w:t>von Kryptowährungen in Familienunternehmen-Konstellationen.</w:t>
      </w:r>
    </w:p>
    <w:p>
      <w:pPr>
        <w:spacing w:line="259" w:lineRule="auto" w:after="60"/>
        <w:jc w:val="left"/>
      </w:pPr>
      <w:r>
        <w:t>Die Mandantin hat von Anfang an professionell und transparent mitgearbeitet. Bertha</w:t>
      </w:r>
    </w:p>
    <w:p>
      <w:pPr>
        <w:spacing w:line="259" w:lineRule="auto" w:after="60"/>
        <w:jc w:val="left"/>
      </w:pPr>
      <w:r>
        <w:t>Großbach-Riemenschneider hat sich als pragmatische und entscheidungsfreudige Saniererin</w:t>
      </w:r>
    </w:p>
    <w:p>
      <w:pPr>
        <w:spacing w:line="259" w:lineRule="auto" w:after="60"/>
        <w:jc w:val="left"/>
      </w:pPr>
      <w:r>
        <w:t>erwiesen. Wir sind zuversichtlich, dass das Unternehmen die Sanierung erfolgreich</w:t>
      </w:r>
    </w:p>
    <w:p>
      <w:pPr>
        <w:spacing w:line="259" w:lineRule="auto" w:after="60"/>
        <w:jc w:val="left"/>
      </w:pPr>
      <w:r>
        <w:t>abschließen wird.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Abschlusszusammenfassung Phase 1</w:t>
      </w:r>
    </w:p>
    <w:p>
      <w:pPr>
        <w:spacing w:line="259" w:lineRule="auto" w:after="60"/>
        <w:jc w:val="left"/>
      </w:pPr>
      <w:r>
        <w:rPr>
          <w:i/>
        </w:rPr>
        <w:t>RA Dr. Maximilian Drosselberg, Drosselberg &amp; Partner Insolvenzrecht, Erfurt</w:t>
      </w:r>
    </w:p>
    <w:p>
      <w:pPr>
        <w:spacing w:line="259" w:lineRule="auto" w:after="60"/>
        <w:jc w:val="left"/>
      </w:pPr>
      <w:r>
        <w:rPr>
          <w:i/>
        </w:rPr>
        <w:t>30. Juni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