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Gutachten: Verbraucher- oder Regelinsolvenz</w:t>
      </w:r>
    </w:p>
    <w:p>
      <w:pPr>
        <w:spacing w:line="259" w:lineRule="auto" w:after="60"/>
        <w:jc w:val="left"/>
      </w:pPr>
      <w:r>
        <w:t>Ausgangspunkt ist § 304 InsO. Herr Reimers ist nicht mehr selbstständig tätig. Problematisch ist seine frühere Geschäftsführerstellung. Entscheidend ist nicht die frühere Organstellung allein, sondern ob die Vermögensverhältnisse überschaubar sind und ob Forderungen aus Arbeitsverhältnissen bestehen.</w:t>
      </w:r>
    </w:p>
    <w:p>
      <w:pPr>
        <w:spacing w:line="259" w:lineRule="auto" w:after="60"/>
        <w:jc w:val="left"/>
      </w:pPr>
      <w:r>
        <w:t>Nach der vorliegenden Liste gibt es zwar Krankenkassen- und Steuerforderungen, aber bislang keine eindeutig offenen Arbeitnehmerlohnforderungen. Wenn keine Forderungen aus Arbeitsverhältnissen bestehen und die Gläubigerzahl überschaubar bleibt, spricht viel für Verbraucherinsolvenz. Das muss aber vor Antragstellung nochmals geprüft werden, weil eine falsch gewählte Verfahrensart zu Nachforderungen oder Verzögerungen führt.</w:t>
      </w:r>
    </w:p>
    <w:p>
      <w:pPr>
        <w:spacing w:line="259" w:lineRule="auto" w:after="60"/>
        <w:jc w:val="left"/>
      </w:pPr>
      <w:r>
        <w:t>Die frühere GmbH-Tätigkeit bleibt materiell wichtig: Steuerhaftung, Sozialversicherungsbeiträge, Bürgschaften und § 302 InsO können die wirtschaftliche Entlastung begrenzen. Deshalb ist die Verfahrensart nur die erste Weiche, nicht die Lösung des gesamten Falls.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