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Red-Team: Versagungs- und Ausnahme-Risiken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§ 290 InsO</w:t>
      </w:r>
    </w:p>
    <w:p>
      <w:pPr>
        <w:spacing w:line="259" w:lineRule="auto" w:after="60"/>
        <w:jc w:val="left"/>
      </w:pPr>
      <w:r>
        <w:t>Gefährlich sind unvollständige Gläubigerlisten, falsche Angaben zum Vermögen, nicht offengelegte Nebenverdienste und unangemessene neue Verbindlichkeiten. Die Akte enthält noch Lücken bei Technikverkauf, Steuererstattung und einer alten PayPal-Forderung.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§ 302 InsO</w:t>
      </w:r>
    </w:p>
    <w:p>
      <w:pPr>
        <w:spacing w:line="259" w:lineRule="auto" w:after="60"/>
        <w:jc w:val="left"/>
      </w:pPr>
      <w:r>
        <w:t>Das Inkasso behauptet vorsätzlich unerlaubte Handlung, hat aber keine Tatsachen dargelegt. Dem Attribut sollte widersprochen werden. Bei Unterhalt und Steuerforderungen ist differenziert zu prüfen.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Obliegenheiten</w:t>
      </w:r>
    </w:p>
    <w:p>
      <w:pPr>
        <w:spacing w:line="259" w:lineRule="auto" w:after="60"/>
        <w:jc w:val="left"/>
      </w:pPr>
      <w:r>
        <w:t>Herr Reimers braucht einen Kalender: Jobwechsel, Umzug, Erbschaft, Sonderzahlungen und neue Schulden sind sofort zu melden. Die Restschuldbefreiung darf nicht durch Alltagschaos gefährdet werden.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