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Langgutachten: Schuldenbereinigungsplan, Verfahrensart und Antrag</w:t>
      </w:r>
    </w:p>
    <w:p>
      <w:pPr>
        <w:pStyle w:val="Heading2"/>
        <w:spacing w:before="120" w:after="60" w:line="259" w:lineRule="auto"/>
      </w:pPr>
      <w:r>
        <w:rPr>
          <w:rFonts w:ascii="Times New Roman" w:hAnsi="Times New Roman"/>
          <w:b/>
          <w:sz w:val="22"/>
        </w:rPr>
        <w:t>1. Auftrag und Ausgangspunkt</w:t>
      </w:r>
    </w:p>
    <w:p>
      <w:pPr>
        <w:spacing w:line="259" w:lineRule="auto" w:after="60"/>
        <w:jc w:val="left"/>
      </w:pPr>
      <w:r>
        <w:t>Herr Reimers möchte wissen, ob er den Weg der Verbraucherinsolvenz gehen kann und welche Schritte dafür erforderlich sind. Die Frage ist praktisch dringend, weil Kontopfändungen angekündigt sind und zugleich Miet- und Stromzahlungen stabil gehalten werden müssen. Das Ziel ist nicht, irgendein Formular auszufüllen, sondern eine geordnete Akte zu schaffen, mit der Beratungsstelle, Gericht und Gläubiger den Fall ohne Rätsel verstehen.</w:t>
      </w:r>
    </w:p>
    <w:p>
      <w:pPr>
        <w:spacing w:line="259" w:lineRule="auto" w:after="60"/>
        <w:jc w:val="left"/>
      </w:pPr>
      <w:r>
        <w:t>Die entscheidende Weiche ist § 304 InsO. Herr Reimers war Geschäftsführer einer GmbH, ist aber nicht mehr selbstständig tätig. Verbraucherinsolvenz ist bei ehemaligen Selbstständigen nicht automatisch ausgeschlossen. Kritisch wird es, wenn die Vermögensverhältnisse nicht überschaubar sind oder Forderungen aus Arbeitsverhältnissen bestehen. Deshalb reicht der Satz „ich bin jetzt Arbeitnehmer“ nicht. Es muss geprüft werden, wie viele Gläubiger vorhanden sind, welche Forderungen aus der GmbH-Zeit stammen und ob etwa Arbeitnehmerlohn, Sozialversicherungsbeiträge mit Arbeitnehmerbezug oder Geschäftsführerhaftungsforderungen im Raum stehen.</w:t>
      </w:r>
    </w:p>
    <w:p>
      <w:pPr>
        <w:pStyle w:val="Heading2"/>
        <w:spacing w:before="120" w:after="60" w:line="259" w:lineRule="auto"/>
      </w:pPr>
      <w:r>
        <w:rPr>
          <w:rFonts w:ascii="Times New Roman" w:hAnsi="Times New Roman"/>
          <w:b/>
          <w:sz w:val="22"/>
        </w:rPr>
        <w:t>2. Tatsachen, die feststehen</w:t>
      </w:r>
    </w:p>
    <w:p>
      <w:pPr>
        <w:spacing w:line="259" w:lineRule="auto" w:after="60"/>
        <w:jc w:val="left"/>
      </w:pPr>
      <w:r>
        <w:t>Nach den Unterlagen ist Herr Reimers seit September 2025 Arbeitnehmer. Er hat keine laufenden Aufträge, keine offenen Ausgangsrechnungen und kein aktives Gewerbe. Die frühere GmbH ist faktisch beendet. Die Gläubigerliste enthält derzeit sechs Hauptgläubiger. Die Forderungen sind hoch, aber überschaubar strukturiert: Bankbürgschaft, Finanzamt, Krankenkasse, Inkasso/Kreditkarte, Vermieterin, Unterhalt.</w:t>
      </w:r>
    </w:p>
    <w:p>
      <w:pPr>
        <w:spacing w:line="259" w:lineRule="auto" w:after="60"/>
        <w:jc w:val="left"/>
      </w:pPr>
      <w:r>
        <w:t>Die Haushaltslage ist knapp. Das Nettoeinkommen liegt bei ungefähr 2.240 EUR. Die Warmmiete beträgt 820 EUR. Der Wechselmodell-Alltag verursacht zusätzliche Kosten, die nicht vollständig in Tabellen sichtbar sind. Eine Planrate von 120 EUR ist nur realistisch, wenn keine neue Kontopfändung die Mietzahlung blockiert. Eine Einmalzahlung der Schwester über 6.000 EUR steht nur für eine außergerichtliche Einigung zur Verfügung. Sie sollte deshalb nicht voreilig als allgemeines Vermögen dargestellt werden, sondern als zweckgebundenes Drittmittelangebot im Plan.</w:t>
      </w:r>
    </w:p>
    <w:p>
      <w:pPr>
        <w:pStyle w:val="Heading2"/>
        <w:spacing w:before="120" w:after="60" w:line="259" w:lineRule="auto"/>
      </w:pPr>
      <w:r>
        <w:rPr>
          <w:rFonts w:ascii="Times New Roman" w:hAnsi="Times New Roman"/>
          <w:b/>
          <w:sz w:val="22"/>
        </w:rPr>
        <w:t>3. Verfahrensart</w:t>
      </w:r>
    </w:p>
    <w:p>
      <w:pPr>
        <w:spacing w:line="259" w:lineRule="auto" w:after="60"/>
        <w:jc w:val="left"/>
      </w:pPr>
      <w:r>
        <w:t>Für die Verbraucherinsolvenz spricht, dass Herr Reimers nicht mehr selbstständig ist, eine überschaubare Gläubigerzahl hat und keine aktuell bekannte Arbeitnehmerlohnforderung aus der GmbH offen ist. Gegen die Verbraucherinsolvenz könnte sprechen, wenn die Krankenkasse eine Forderung aus Arbeitnehmeranteilen oder § 266a StGB-naher Verantwortlichkeit geltend macht und diese als typische Unternehmensaltlast mit besonderer Komplexität behandelt wird. Das ist aber nicht allein aus der Bezeichnung „SV-Beiträge“ abzuleiten. Die Akte muss klären, ob es sich um persönliche Haftung, GmbH-Forderung, Beitragsbescheid gegen Herrn Reimers oder nur Inkassokommunikation handelt.</w:t>
      </w:r>
    </w:p>
    <w:p>
      <w:pPr>
        <w:spacing w:line="259" w:lineRule="auto" w:after="60"/>
        <w:jc w:val="left"/>
      </w:pPr>
      <w:r>
        <w:t>Die Empfehlung lautet daher: Verbraucherinsolvenz vorbereiten, aber in der Akte eine Prüfnotiz zur Abgrenzung aufnehmen. Sollte eine Arbeitnehmerforderung auftauchen oder die Gläubigerstruktur deutlich komplexer werden, muss der Weg neu bewertet werden.</w:t>
      </w:r>
    </w:p>
    <w:p>
      <w:pPr>
        <w:pStyle w:val="Heading2"/>
        <w:spacing w:line="259" w:lineRule="auto" w:after="60"/>
      </w:pPr>
      <w:r>
        <w:rPr>
          <w:rFonts w:ascii="Times New Roman" w:hAnsi="Times New Roman"/>
        </w:rPr>
        <w:t>4. Außergerichtlicher Einigungsversuch</w:t>
      </w:r>
    </w:p>
    <w:p>
      <w:pPr>
        <w:spacing w:line="259" w:lineRule="auto" w:after="60"/>
        <w:jc w:val="left"/>
      </w:pPr>
      <w:r>
        <w:t>Der außergerichtliche Einigungsversuch ist nicht bloß Formalie. Er muss so durchgeführt werden, dass die spätere Bescheinigung tragfähig ist. Alle bekannten Gläubiger müssen angeschrieben werden. Der Plan muss nachvollziehbar sein. Die Rückläufe müssen dokumentiert werden. Ein bloßes Telefongespräch oder ein Sammelhinweis reicht nicht.</w:t>
      </w:r>
    </w:p>
    <w:p>
      <w:pPr>
        <w:spacing w:line="259" w:lineRule="auto" w:after="60"/>
        <w:jc w:val="left"/>
      </w:pPr>
      <w:r>
        <w:t>Der Plan sollte offenlegen, dass im Insolvenzverfahren voraussichtlich nur geringe laufende Beträge erreichbar wären. Die 6.000 EUR Drittmittel verbessern die Quote nur außergerichtlich. Genau das ist der Vergleichsanreiz. Die Gläubiger müssen verstehen: Bei Annahme gibt es eine schnelle, geordnete Zahlung. Bei Ablehnung droht ein längeres Verfahren mit ungewisser Quote.</w:t>
      </w:r>
    </w:p>
    <w:p>
      <w:pPr>
        <w:pStyle w:val="Heading2"/>
        <w:spacing w:line="259" w:lineRule="auto" w:after="60"/>
      </w:pPr>
      <w:r>
        <w:rPr>
          <w:rFonts w:ascii="Times New Roman" w:hAnsi="Times New Roman"/>
        </w:rPr>
        <w:t>5. Gefährliche Forderungen</w:t>
      </w:r>
    </w:p>
    <w:p>
      <w:pPr>
        <w:spacing w:line="259" w:lineRule="auto" w:after="60"/>
        <w:jc w:val="left"/>
      </w:pPr>
      <w:r>
        <w:t>Besonders gefährlich sind Forderungen, die von der Restschuldbefreiung nicht erfasst werden könnten. Dazu gehören bestimmte Forderungen aus vorsätzlich unerlaubter Handlung, bestimmte Unterhaltsforderungen und bestimmte Steuerforderungen. In dieser Akte sind drei Punkte rot zu markieren.</w:t>
      </w:r>
    </w:p>
    <w:p>
      <w:pPr>
        <w:spacing w:line="259" w:lineRule="auto" w:after="60"/>
        <w:jc w:val="left"/>
      </w:pPr>
      <w:r>
        <w:t>Erstens behauptet das Inkasso eine vorsätzlich unerlaubte Handlung, ohne Tatsachen zu liefern. Dem Attribut sollte widersprochen werden. Zweitens bestehen Unterhaltsrückstände. Hier ist zu klären, ob und inwieweit eine vorsätzlich pflichtwidrige Nichtzahlung behauptet wird. Drittens gibt es Steuerforderungen und den Hinweis auf eine Steuerstrafakte. Hier muss sehr genau geprüft werden, ob das Finanzamt später § 302 InsO ins Spiel bringt.</w:t>
      </w:r>
    </w:p>
    <w:p>
      <w:pPr>
        <w:pStyle w:val="Heading2"/>
        <w:spacing w:line="259" w:lineRule="auto" w:after="60"/>
      </w:pPr>
      <w:r>
        <w:rPr>
          <w:rFonts w:ascii="Times New Roman" w:hAnsi="Times New Roman"/>
        </w:rPr>
        <w:t>6. Antrag beim Insolvenzgericht</w:t>
      </w:r>
    </w:p>
    <w:p>
      <w:pPr>
        <w:spacing w:line="259" w:lineRule="auto" w:after="60"/>
        <w:jc w:val="left"/>
      </w:pPr>
      <w:r>
        <w:t>Der Antrag muss den Restschuldbefreiungsantrag enthalten. Das klingt selbstverständlich, ist aber praktisch eine der gefährlichen Stellen. Wer den Antrag unvollständig stellt, verliert Zeit oder riskiert Nachforderungen. Zusätzlich sollte Verfahrenskostenstundung beantragt werden, weil die freie Liquidität nicht ausreicht.</w:t>
      </w:r>
    </w:p>
    <w:p>
      <w:pPr>
        <w:spacing w:line="259" w:lineRule="auto" w:after="60"/>
        <w:jc w:val="left"/>
      </w:pPr>
      <w:r>
        <w:t>Die Anlagen müssen konsistent sein. Die Gläubigerliste im Plan, das Forderungsverzeichnis und die Anlagen zum Antrag dürfen nicht auseinanderfallen. Wenn eine Forderung bestritten wird, muss das in der Liste erkennbar sein. Wenn eine Forderung ein §-302-Risiko hat, muss sie gesondert markiert werden.</w:t>
      </w:r>
    </w:p>
    <w:p>
      <w:pPr>
        <w:pStyle w:val="Heading2"/>
        <w:spacing w:line="259" w:lineRule="auto" w:after="60"/>
      </w:pPr>
      <w:r>
        <w:rPr>
          <w:rFonts w:ascii="Times New Roman" w:hAnsi="Times New Roman"/>
        </w:rPr>
        <w:t>7. Existenzsicherung</w:t>
      </w:r>
    </w:p>
    <w:p>
      <w:pPr>
        <w:spacing w:line="259" w:lineRule="auto" w:after="60"/>
        <w:jc w:val="left"/>
      </w:pPr>
      <w:r>
        <w:t>Vor allem muss das Konto stabilisiert werden. Ein P-Konto ist nicht nur ein Nebenthema, sondern Voraussetzung dafür, dass Miete und Lebenshaltung weiter funktionieren. Bei laufender Pfändung muss geprüft werden, ob Lohn- und Kontopfändung zusammenspielen und ob eine Bescheinigung für erhöhte Freibeträge erforderlich ist.</w:t>
      </w:r>
    </w:p>
    <w:p>
      <w:pPr>
        <w:spacing w:line="259" w:lineRule="auto" w:after="60"/>
        <w:jc w:val="left"/>
      </w:pPr>
      <w:r>
        <w:t>Die Wohnung ist wirtschaftlich wichtiger als eine marginal höhere Planrate. Wenn der Plan so eng ist, dass Mietrückstände entstehen, ist er unbrauchbar. Dasselbe gilt für Strom und Krankenversicherung.</w:t>
      </w:r>
    </w:p>
    <w:p>
      <w:pPr>
        <w:pStyle w:val="Heading2"/>
        <w:spacing w:line="259" w:lineRule="auto" w:after="60"/>
      </w:pPr>
      <w:r>
        <w:rPr>
          <w:rFonts w:ascii="Times New Roman" w:hAnsi="Times New Roman"/>
        </w:rPr>
        <w:t>8. Ergebnis</w:t>
      </w:r>
    </w:p>
    <w:p>
      <w:pPr>
        <w:spacing w:line="259" w:lineRule="auto" w:after="60"/>
        <w:jc w:val="left"/>
      </w:pPr>
      <w:r>
        <w:t>Herr Reimers kann den Verbraucherinsolvenzpfad ernsthaft vorbereiten. Der Plan ist plausibel, muss aber durch vollständige Gläubigeradressen, Forderungsnachweise, Zustelllog und eine klare §-302-Prüfung ergänzt werden. Die Akte ist erst dann antragsreif, wenn die Bescheinigung sauber erstellt werden kann und alle Formulare dieselbe Gläubiger- und Forderungslogik verwenden.</w:t>
      </w:r>
    </w:p>
    <w:p>
      <w:pPr>
        <w:spacing w:line="259" w:lineRule="auto" w:after="60"/>
        <w:jc w:val="left"/>
      </w:pPr>
      <w:r>
        <w:t>Empfohlen wird: P-Konto sofort, Gläubigeranschreiben binnen einer Woche, Rücklauffrist vier Wochen, danach Bescheinigung und Antrag. Parallel werden Finanzamt, Krankenkasse und Inkasso wegen der gefährlichen Attribute gesondert angeschrieben.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