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Erklärung des gerichtlichen Antrags in einfacher Sprache</w:t>
      </w:r>
    </w:p>
    <w:p>
      <w:pPr>
        <w:spacing w:line="259" w:lineRule="auto" w:after="60"/>
        <w:jc w:val="left"/>
      </w:pPr>
      <w:r>
        <w:t>Der Antrag beim Insolvenzgericht besteht aus mehreren Teilen. Der wichtigste Teil ist nicht nur der Antrag auf Eröffnung des Insolvenzverfahrens. Herr Reimers muss auch Restschuldbefreiung beantragen. Ohne diesen Antrag bekommt er am Ende nicht automatisch den wirtschaftlichen Neustart.</w:t>
      </w:r>
    </w:p>
    <w:p>
      <w:pPr>
        <w:spacing w:line="259" w:lineRule="auto" w:after="60"/>
        <w:jc w:val="left"/>
      </w:pPr>
      <w:r>
        <w:t>Außerdem braucht er die Bescheinigung, dass der außergerichtliche Einigungsversuch gescheitert ist. Diese Bescheinigung darf nicht erfunden oder vorschnell ausgestellt werden. Sie setzt voraus, dass der Plan ernsthaft an alle bekannten Gläubiger geschickt wurde.</w:t>
      </w:r>
    </w:p>
    <w:p>
      <w:pPr>
        <w:spacing w:line="259" w:lineRule="auto" w:after="60"/>
        <w:jc w:val="left"/>
      </w:pPr>
      <w:r>
        <w:t>Das Gericht prüft die Unterlagen nicht wie eine Beratungsstelle. Wenn etwas fehlt, kommt eine Nachfrage oder der Antrag wird unvollständig. Deshalb muss Herr Reimers alle Anlagen in derselben Reihenfolge sortieren: Gläubigerliste, Forderungen, Vermögen, Einkommen, Ausgaben, Plan, Bescheinigung, Stundung, Restschuldbefreiung.</w:t>
      </w:r>
    </w:p>
    <w:p>
      <w:pPr>
        <w:spacing w:line="259" w:lineRule="auto" w:after="60"/>
        <w:jc w:val="left"/>
      </w:pPr>
      <w:r>
        <w:t>Wenn eine Forderung vielleicht nicht von der Restschuldbefreiung erfasst wird, muss sie gesondert beobachtet werden. Das bedeutet nicht, dass die Forderung automatisch bestehen bleibt. Es bedeutet nur, dass man sich dagegen rechtzeitig wehren muss, wenn der Gläubiger ein gefährliches Attribut anmeldet.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