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Dokumentenmappe und Prüfnotizen</w:t>
      </w:r>
    </w:p>
    <w:p>
      <w:pPr>
        <w:pStyle w:val="Heading2"/>
        <w:spacing w:before="120" w:after="60" w:line="259" w:lineRule="auto"/>
      </w:pPr>
      <w:r>
        <w:rPr>
          <w:rFonts w:ascii="Times New Roman" w:hAnsi="Times New Roman"/>
          <w:b/>
          <w:sz w:val="22"/>
        </w:rPr>
        <w:t>Sparkasse Weser</w:t>
      </w:r>
    </w:p>
    <w:p>
      <w:pPr>
        <w:spacing w:line="259" w:lineRule="auto" w:after="60"/>
        <w:jc w:val="left"/>
      </w:pPr>
      <w:r>
        <w:t>Die Sparkasse hat eine Bürgschaft über 42.750 EUR gezogen. Unklar ist, ob die Bürgschaft wirksam zustande kam, ob eine krasse finanzielle Überforderung vorlag und ob die Bank Herrn Reimers nur als formalen Mitgesellschafter oder als tatsächlich wirtschaftlich Verantwortlichen behandelt hat. Für den Plan ist die Forderung zunächst aufzunehmen. Für eine spätere Einwendung müssen Bürgschaftsurkunde, Kreditvertrag, Kündigung, Saldenaufstellung und Zahlungsaufforderung vorliegen.</w:t>
      </w:r>
    </w:p>
    <w:p>
      <w:pPr>
        <w:spacing w:line="259" w:lineRule="auto" w:after="60"/>
        <w:jc w:val="left"/>
      </w:pPr>
      <w:r>
        <w:t>Prüfnotiz: Keine vorschnelle Anerkennung. Forderung in Plan aufnehmen, aber Einwendungen vorbehalten. Wenn die Bank den Plan annimmt, ist das wirtschaftlich meist wichtiger als ein unsicherer Bürgschaftsprozess.</w:t>
      </w:r>
    </w:p>
    <w:p>
      <w:pPr>
        <w:pStyle w:val="Heading2"/>
        <w:spacing w:before="120" w:after="60" w:line="259" w:lineRule="auto"/>
      </w:pPr>
      <w:r>
        <w:rPr>
          <w:rFonts w:ascii="Times New Roman" w:hAnsi="Times New Roman"/>
          <w:b/>
          <w:sz w:val="22"/>
        </w:rPr>
        <w:t>Finanzamt Bremen</w:t>
      </w:r>
    </w:p>
    <w:p>
      <w:pPr>
        <w:spacing w:line="259" w:lineRule="auto" w:after="60"/>
        <w:jc w:val="left"/>
      </w:pPr>
      <w:r>
        <w:t>Die Forderung aus Umsatzsteuer ist gefährlich, weil das Finanzamt steuerliche Nebenverfahren und eventuell strafrechtliche Bewertungen kennen kann. Es ist aber nicht jede Steuerforderung von der Restschuldbefreiung ausgenommen. Entscheidend ist, ob die Voraussetzungen für eine entsprechende Ausnahme konkret geltend gemacht werden und ob die Forderung entsprechend angemeldet wird.</w:t>
      </w:r>
    </w:p>
    <w:p>
      <w:pPr>
        <w:spacing w:line="259" w:lineRule="auto" w:after="60"/>
        <w:jc w:val="left"/>
      </w:pPr>
      <w:r>
        <w:t>Prüfnotiz: Steuerart, Zeitraum, Bescheid, Einspruchslage und Strafbezug klären. Die Akte darf nicht nur „Finanzamt 9.870 EUR“ sagen. Sie muss erklären, aus welchem Bescheid die Forderung kommt.</w:t>
      </w:r>
    </w:p>
    <w:p>
      <w:pPr>
        <w:pStyle w:val="Heading2"/>
        <w:spacing w:before="120" w:after="60" w:line="259" w:lineRule="auto"/>
      </w:pPr>
      <w:r>
        <w:rPr>
          <w:rFonts w:ascii="Times New Roman" w:hAnsi="Times New Roman"/>
          <w:b/>
          <w:sz w:val="22"/>
        </w:rPr>
        <w:t>BKK Hafen</w:t>
      </w:r>
    </w:p>
    <w:p>
      <w:pPr>
        <w:spacing w:line="259" w:lineRule="auto" w:after="60"/>
        <w:jc w:val="left"/>
      </w:pPr>
      <w:r>
        <w:t>Bei Sozialversicherungsbeiträgen muss sauber getrennt werden: Forderung gegen die GmbH, persönliche Haftung des Geschäftsführers, Arbeitnehmeranteile, Säumniszuschläge, Strafverfahren oder bloße Nachforderung. Für die Verbraucherinsolvenzabgrenzung kann wichtig sein, ob es Forderungen aus Arbeitsverhältnissen gibt. Für die Restschuldbefreiung kann wichtig sein, ob ein deliktischer oder strafrechtlicher Hintergrund behauptet wird.</w:t>
      </w:r>
    </w:p>
    <w:p>
      <w:pPr>
        <w:spacing w:line="259" w:lineRule="auto" w:after="60"/>
        <w:jc w:val="left"/>
      </w:pPr>
      <w:r>
        <w:t>Prüfnotiz: Beitragsbescheid anfordern. Wenn nur die GmbH Schuldnerin ist, muss die Forderung gegen Herrn Reimers begründet werden. Wenn Herr Reimers persönlich haftet, muss der Haftungsbescheid in die Akte.</w:t>
      </w:r>
    </w:p>
    <w:p>
      <w:pPr>
        <w:pStyle w:val="Heading2"/>
        <w:spacing w:line="259" w:lineRule="auto" w:after="60"/>
      </w:pPr>
      <w:r>
        <w:rPr>
          <w:rFonts w:ascii="Times New Roman" w:hAnsi="Times New Roman"/>
        </w:rPr>
        <w:t>Mahnwelt Inkasso</w:t>
      </w:r>
    </w:p>
    <w:p>
      <w:pPr>
        <w:spacing w:line="259" w:lineRule="auto" w:after="60"/>
        <w:jc w:val="left"/>
      </w:pPr>
      <w:r>
        <w:t>Das Inkasso behauptet vorsätzlich unerlaubte Handlung, ohne konkrete Tatsachen. Das ist eine typische Gefahr: Das Attribut klingt dramatisch und soll Druck erzeugen. Es ersetzt aber nicht die Darlegung, warum gerade eine vorsätzliche unerlaubte Handlung vorliegen soll. Dem Attribut ist im Forderungsprüfungsverfahren zu widersprechen, wenn es nicht tragfähig belegt ist.</w:t>
      </w:r>
    </w:p>
    <w:p>
      <w:pPr>
        <w:spacing w:line="259" w:lineRule="auto" w:after="60"/>
        <w:jc w:val="left"/>
      </w:pPr>
      <w:r>
        <w:t>Prüfnotiz: Titel, Forderungsgrund, Abtretung, Kosten und Zinsen prüfen. Inkassokosten gesondert bewerten. Keine telefonischen Zusagen.</w:t>
      </w:r>
    </w:p>
    <w:p>
      <w:pPr>
        <w:pStyle w:val="Heading2"/>
        <w:spacing w:line="259" w:lineRule="auto" w:after="60"/>
      </w:pPr>
      <w:r>
        <w:rPr>
          <w:rFonts w:ascii="Times New Roman" w:hAnsi="Times New Roman"/>
        </w:rPr>
        <w:t>Unterhalt</w:t>
      </w:r>
    </w:p>
    <w:p>
      <w:pPr>
        <w:spacing w:line="259" w:lineRule="auto" w:after="60"/>
        <w:jc w:val="left"/>
      </w:pPr>
      <w:r>
        <w:t>Unterhaltsrückstände sind menschlich und rechtlich besonders sensibel. Der laufende Unterhalt muss stabil bedient werden. Alte Rückstände sind in den Plan aufzunehmen. Ob sie von der Restschuldbefreiung ausgenommen sind, hängt von der genauen rechtlichen Einordnung ab. Die Akte muss deshalb unterscheiden zwischen laufendem Unterhalt, tituliertem Rückstand, freiwilliger Vereinbarung und behaupteter Pflichtverletzung.</w:t>
      </w:r>
    </w:p>
    <w:p>
      <w:pPr>
        <w:spacing w:line="259" w:lineRule="auto" w:after="60"/>
        <w:jc w:val="left"/>
      </w:pPr>
      <w:r>
        <w:t>Prüfnotiz: Kindeswohl und Haushaltsstabilität nicht gegen den Plan ausspielen. Ein Plan, der laufenden Unterhalt gefährdet, ist nicht seriös.</w:t>
      </w:r>
    </w:p>
    <w:p>
      <w:pPr>
        <w:pStyle w:val="Heading2"/>
        <w:spacing w:line="259" w:lineRule="auto" w:after="60"/>
      </w:pPr>
      <w:r>
        <w:rPr>
          <w:rFonts w:ascii="Times New Roman" w:hAnsi="Times New Roman"/>
        </w:rPr>
        <w:t>Vermieterin</w:t>
      </w:r>
    </w:p>
    <w:p>
      <w:pPr>
        <w:spacing w:line="259" w:lineRule="auto" w:after="60"/>
        <w:jc w:val="left"/>
      </w:pPr>
      <w:r>
        <w:t>Mietrückstände können die gesamte Sanierung zerstören. Wenn die Wohnung verloren geht, kippt der Haushaltsplan. Deshalb sollen Mietrückstände nicht in einer Weise verhandelt werden, die eine Kündigung provoziert. Die Vermieterin braucht eine klare Zusage zur laufenden Miete und eine realistische Rückstandsregelung.</w:t>
      </w:r>
    </w:p>
    <w:p>
      <w:pPr>
        <w:spacing w:line="259" w:lineRule="auto" w:after="60"/>
        <w:jc w:val="left"/>
      </w:pPr>
      <w:r>
        <w:t>Prüfnotiz: Mietkonto, Kaution, Betriebskosten und Kündigungsstand klären. Keine Zusage, die aus dem Pfändungsfreibetrag nicht erfüllbar ist.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