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Schuldenbereinigungsplan Reimers, Fassung 18.06.2026</w:t>
      </w:r>
    </w:p>
    <w:p>
      <w:pPr>
        <w:pStyle w:val="Heading2"/>
        <w:spacing w:before="120" w:after="60" w:line="259" w:lineRule="auto"/>
      </w:pPr>
      <w:r>
        <w:rPr>
          <w:rFonts w:ascii="Times New Roman" w:hAnsi="Times New Roman"/>
          <w:b/>
          <w:sz w:val="22"/>
        </w:rPr>
        <w:t>Vorbemerkung</w:t>
      </w:r>
    </w:p>
    <w:p>
      <w:pPr>
        <w:spacing w:line="259" w:lineRule="auto" w:after="60"/>
        <w:jc w:val="left"/>
      </w:pPr>
      <w:r>
        <w:t>Matthias Reimers schlägt seinen Gläubigern einen außergerichtlichen Schuldenbereinigungsplan vor. Der Plan beruht auf den derzeit bekannten Einkommens-, Vermögens- und Familienverhältnissen. Er ist nicht als Schuldanerkenntnis gemeint. Forderungen, die dem Grunde oder der Höhe nach bestritten werden, werden im Plan nur deshalb aufgeführt, damit alle Beteiligten eine vollständige wirtschaftliche Lösung prüfen können.</w:t>
      </w:r>
    </w:p>
    <w:p>
      <w:pPr>
        <w:spacing w:line="259" w:lineRule="auto" w:after="60"/>
        <w:jc w:val="left"/>
      </w:pPr>
      <w:r>
        <w:t>Herr Reimers war bis 2023 Geschäftsführer der Reimers Licht &amp; Ton GmbH. Die Gesellschaft ist abgewickelt. Herr Reimers betreibt kein Gewerbe mehr. Seit September 2025 ist er als technischer Koordinator bei einer Messebaufirma angestellt. Arbeitnehmerforderungen gegen ihn persönlich sind nach seiner Darstellung nicht bekannt. Die offenen Forderungen stammen aus privaten Konsumentenkrediten, Gerätefinanzierungsbürgschaften, Krankenkassenbeiträgen aus der früheren GmbH-Zeit, Steuerforderungen und titulierten Inkassoforderungen.</w:t>
      </w:r>
    </w:p>
    <w:p>
      <w:pPr>
        <w:pStyle w:val="Heading2"/>
        <w:spacing w:before="120" w:after="60" w:line="259" w:lineRule="auto"/>
      </w:pPr>
      <w:r>
        <w:rPr>
          <w:rFonts w:ascii="Times New Roman" w:hAnsi="Times New Roman"/>
          <w:b/>
          <w:sz w:val="22"/>
        </w:rPr>
        <w:t>Haushalts- und Einkommensgrundlage</w:t>
      </w:r>
    </w:p>
    <w:p>
      <w:pPr>
        <w:spacing w:line="259" w:lineRule="auto" w:after="60"/>
        <w:jc w:val="left"/>
      </w:pPr>
      <w:r>
        <w:t>Herr Reimers erzielt monatlich rund 2.240,00 EUR netto. Seine Tochter lebt im Wechselmodell bei ihm und bei der Mutter. Für die Zeiten im Haushalt von Herrn Reimers fallen laufende Kosten für Kleidung, Schulmaterial, Fahrten, Verpflegung und Freizeit an. Die Warmmiete beträgt 920,00 EUR. Hinzu kommen Strom, Telefon, Versicherungen, Fahrkosten, Lebensmittel und notwendige Rücklagen für Reparaturen.</w:t>
      </w:r>
    </w:p>
    <w:p>
      <w:pPr>
        <w:spacing w:line="259" w:lineRule="auto" w:after="60"/>
        <w:jc w:val="left"/>
      </w:pPr>
      <w:r>
        <w:t>Nach vorläufiger Pfändungstabelle ergibt sich ein nur geringer pfändbarer Betrag. Herr Reimers bietet an, 36 Monate lang monatlich 85,00 EUR zu zahlen. Zusätzlich stellt seine Schwester, Frau Odilia Reimers, eine einmalige Drittmittelzahlung von 6.000,00 EUR zur Verfügung, wenn der Plan zustande kommt und die Gläubiger auf weitere Vollstreckung verzichten.</w:t>
      </w:r>
    </w:p>
    <w:p>
      <w:pPr>
        <w:pStyle w:val="Heading2"/>
        <w:spacing w:before="120" w:after="60" w:line="259" w:lineRule="auto"/>
      </w:pPr>
      <w:r>
        <w:rPr>
          <w:rFonts w:ascii="Times New Roman" w:hAnsi="Times New Roman"/>
          <w:b/>
          <w:sz w:val="22"/>
        </w:rPr>
        <w:t>Planangebot</w:t>
      </w:r>
    </w:p>
    <w:p>
      <w:pPr>
        <w:pStyle w:val="ListNumber"/>
        <w:spacing w:line="259" w:lineRule="auto" w:after="60"/>
      </w:pPr>
      <w:r>
        <w:t>Herr Reimers zahlt 36 Monatsraten zu je 85,00 EUR.</w:t>
      </w:r>
    </w:p>
    <w:p>
      <w:pPr>
        <w:pStyle w:val="ListNumber"/>
        <w:spacing w:line="259" w:lineRule="auto" w:after="60"/>
      </w:pPr>
      <w:r>
        <w:t>Die erste Rate wird am 15. des Monats fällig, der auf die Annahme des Plans folgt.</w:t>
      </w:r>
    </w:p>
    <w:p>
      <w:pPr>
        <w:pStyle w:val="ListNumber"/>
        <w:spacing w:line="259" w:lineRule="auto" w:after="60"/>
      </w:pPr>
      <w:r>
        <w:t>Die Drittmittelzahlung von 6.000,00 EUR wird binnen 14 Tagen nach schriftlicher Zustimmung aller planbeteiligten Gläubiger auf ein Treuhandkonto der anerkannten Schuldnerberatungsstelle gezahlt.</w:t>
      </w:r>
    </w:p>
    <w:p>
      <w:pPr>
        <w:pStyle w:val="ListNumber"/>
        <w:spacing w:line="259" w:lineRule="auto" w:after="60"/>
      </w:pPr>
      <w:r>
        <w:t>Die Verteilung erfolgt quotal nach der im Forderungsverzeichnis ausgewiesenen anerkannten Forderungshöhe.</w:t>
      </w:r>
    </w:p>
    <w:p>
      <w:pPr>
        <w:pStyle w:val="ListNumber"/>
        <w:spacing w:line="259" w:lineRule="auto" w:after="60"/>
      </w:pPr>
      <w:r>
        <w:t>Bestrittene Forderungen nehmen nur dann teil, wenn der Gläubiger die Forderung durch Vertrag, Titel, Abtretungsnachweis, Saldenaufstellung oder Beitragskonto nachvollziehbar belegt.</w:t>
      </w:r>
    </w:p>
    <w:p>
      <w:pPr>
        <w:pStyle w:val="ListNumber"/>
        <w:spacing w:line="259" w:lineRule="auto" w:after="60"/>
      </w:pPr>
      <w:r>
        <w:t>Gläubiger mit Sicherungsrechten legen diese offen. Soweit Sicherheiten verwertet werden, wird der Erlös auf die Forderung angerechnet.</w:t>
      </w:r>
    </w:p>
    <w:p>
      <w:pPr>
        <w:pStyle w:val="ListNumber"/>
        <w:spacing w:line="259" w:lineRule="auto" w:after="60"/>
      </w:pPr>
      <w:r>
        <w:t>Nach vollständiger Planerfüllung verzichten die Gläubiger auf Restforderung, Zinsen und Kosten, soweit keine insolvenzrechtlich ausgenommene Forderung rechtskräftig festgestellt oder im Verfahren wirksam als solche angemeldet und nicht erfolgreich bestritten wird.</w:t>
      </w:r>
    </w:p>
    <w:p>
      <w:pPr>
        <w:pStyle w:val="ListNumber"/>
        <w:spacing w:line="259" w:lineRule="auto" w:after="60"/>
      </w:pPr>
      <w:r>
        <w:t>Laufende Unterhaltspflichten bleiben unberührt.</w:t>
      </w:r>
    </w:p>
    <w:p>
      <w:pPr>
        <w:pStyle w:val="ListNumber"/>
        <w:spacing w:line="259" w:lineRule="auto" w:after="60"/>
      </w:pPr>
      <w:r>
        <w:t>Der Plan enthält kein Anerkenntnis einer Forderung als Forderung aus vorsätzlich begangener unerlaubter Handlung.</w:t>
      </w:r>
    </w:p>
    <w:p>
      <w:pPr>
        <w:pStyle w:val="Heading2"/>
        <w:spacing w:line="259" w:lineRule="auto" w:after="60"/>
      </w:pPr>
      <w:r>
        <w:rPr>
          <w:rFonts w:ascii="Times New Roman" w:hAnsi="Times New Roman"/>
        </w:rPr>
        <w:t>Wirtschaftlicher Vergleich mit dem Insolvenzverfahren</w:t>
      </w:r>
    </w:p>
    <w:p>
      <w:pPr>
        <w:spacing w:line="259" w:lineRule="auto" w:after="60"/>
        <w:jc w:val="left"/>
      </w:pPr>
      <w:r>
        <w:t>Bei einem eröffneten Verbraucherinsolvenzverfahren wäre nach derzeitigem Stand ebenfalls nur der pfändbare Anteil des Arbeitseinkommens verwertbar. Verwertbares Vermögen ist nicht vorhanden. Das Fahrzeug ist ein alter Kombi mit hoher Laufleistung, den Herr Reimers für den Arbeitsweg, Materialfahrten und die Betreuung seiner Tochter benötigt. Beteiligungen, werthaltige Forderungen, Schmuck oder Kunst bestehen nicht. Das Girokonto wird als Pfändungsschutzkonto geführt.</w:t>
      </w:r>
    </w:p>
    <w:p>
      <w:pPr>
        <w:spacing w:line="259" w:lineRule="auto" w:after="60"/>
        <w:jc w:val="left"/>
      </w:pPr>
      <w:r>
        <w:t>Der Plan bietet den Gläubigern sofort eine Drittmittelquote und eine verlässliche Monatsrate ohne weitere Verfahrenskosten. Er verhindert zusätzliche Gerichtskosten, Treuhändervergütung, Zustellungsaufwand und langwierige Einzelvollstreckung. Für die Gläubiger ist er deshalb voraussichtlich wirtschaftlich günstiger als ein eröffnetes Verfahren.</w:t>
      </w:r>
    </w:p>
    <w:p>
      <w:pPr>
        <w:pStyle w:val="Heading2"/>
        <w:spacing w:line="259" w:lineRule="auto" w:after="60"/>
      </w:pPr>
      <w:r>
        <w:rPr>
          <w:rFonts w:ascii="Times New Roman" w:hAnsi="Times New Roman"/>
        </w:rPr>
        <w:t>Forderungsgruppen</w:t>
      </w:r>
    </w:p>
    <w:p>
      <w:pPr>
        <w:spacing w:line="259" w:lineRule="auto" w:after="60"/>
        <w:jc w:val="left"/>
      </w:pPr>
      <w:r>
        <w:t>Die Bremer Handelsbank AG macht aus einer Bürgschaft für Gerätefinanzierungen 42.800,00 EUR geltend. Herr Reimers bestreitet nicht, Bürgschaften unterschrieben zu haben. Er weist aber darauf hin, dass die Verwertung der Licht- und Tontechnik noch nicht vollständig abgerechnet ist. Die Forderung wird vorläufig mit 37.500,00 EUR berücksichtigt.</w:t>
      </w:r>
    </w:p>
    <w:p>
      <w:pPr>
        <w:spacing w:line="259" w:lineRule="auto" w:after="60"/>
        <w:jc w:val="left"/>
      </w:pPr>
      <w:r>
        <w:t>Das Finanzamt Bremen fordert 9.870,00 EUR Umsatzsteuer 2022/2023 einschließlich Säumniszuschlägen. Herr Reimers hat gegen einzelne Schätzungsbescheide Einspruch eingelegt. Im Plan wird die Forderung zur Vermeidung von Lücken vollständig aufgenommen. Eine Qualifikation als ausgenommene Forderung wird nicht anerkannt.</w:t>
      </w:r>
    </w:p>
    <w:p>
      <w:pPr>
        <w:spacing w:line="259" w:lineRule="auto" w:after="60"/>
        <w:jc w:val="left"/>
      </w:pPr>
      <w:r>
        <w:t>Die Krankenkasse Weser Nord macht 7.430,20 EUR geltend. Unklar ist, ob es sich um eigene Beitragsschulden, Arbeitgeberanteile der GmbH oder gemischte Rückstände handelt. Herr Reimers verlangt ein Beitragskonto.</w:t>
      </w:r>
    </w:p>
    <w:p>
      <w:pPr>
        <w:spacing w:line="259" w:lineRule="auto" w:after="60"/>
        <w:jc w:val="left"/>
      </w:pPr>
      <w:r>
        <w:t>Inkasso Mahnwelt verlangt 18.420,00 EUR aus Altdarlehen und Kreditkartenforderungen. Zinsen und Kosten sind unübersichtlich. Die Forderung wird mit titulierten Hauptforderungen und verjährungsbereinigten Nebenforderungen berücksichtigt.</w:t>
      </w:r>
    </w:p>
    <w:p>
      <w:pPr>
        <w:pStyle w:val="Heading2"/>
        <w:spacing w:line="259" w:lineRule="auto" w:after="60"/>
      </w:pPr>
      <w:r>
        <w:rPr>
          <w:rFonts w:ascii="Times New Roman" w:hAnsi="Times New Roman"/>
        </w:rPr>
        <w:t>Quotenlogik</w:t>
      </w:r>
    </w:p>
    <w:p>
      <w:pPr>
        <w:spacing w:line="259" w:lineRule="auto" w:after="60"/>
        <w:jc w:val="left"/>
      </w:pPr>
      <w:r>
        <w:t>Die Planmasse beträgt insgesamt 9.060,00 EUR: 3.060,00 EUR aus Monatsraten und 6.000,00 EUR Drittmittel. Nach Abzug notwendiger Verteilungs- und Treuhandkosten von pauschal 300,00 EUR verbleibt eine Verteilungsmasse von 8.760,00 EUR. Bei anerkannten Gesamtforderungen von derzeit 88.100,00 EUR ergibt sich eine Planquote von rund 9,94 Prozent.</w:t>
      </w:r>
    </w:p>
    <w:p>
      <w:pPr>
        <w:spacing w:line="259" w:lineRule="auto" w:after="60"/>
        <w:jc w:val="left"/>
      </w:pPr>
      <w:r>
        <w:t>Gläubiger, die eine höhere Forderung anmelden, müssen diese nachvollziehbar belegen. Ohne Beleg bleibt die Forderung mit dem vorläufigen Betrag im Plan. Nachträglich auftauchende Forderungen werden nur berücksichtigt, wenn der Gläubiger nicht ordnungsgemäß angeschrieben wurde oder die Forderung Herrn Reimers ohne grobe Nachlässigkeit unbekannt war.</w:t>
      </w:r>
    </w:p>
    <w:p>
      <w:pPr>
        <w:pStyle w:val="Heading2"/>
        <w:spacing w:line="259" w:lineRule="auto" w:after="60"/>
      </w:pPr>
      <w:r>
        <w:rPr>
          <w:rFonts w:ascii="Times New Roman" w:hAnsi="Times New Roman"/>
        </w:rPr>
        <w:t>Verhaltenszusagen</w:t>
      </w:r>
    </w:p>
    <w:p>
      <w:pPr>
        <w:spacing w:line="259" w:lineRule="auto" w:after="60"/>
        <w:jc w:val="left"/>
      </w:pPr>
      <w:r>
        <w:t>Herr Reimers verpflichtet sich, während der Planlaufzeit jede wesentliche Änderung seines Einkommens, seiner Anschrift und seiner familiären Unterhaltspflichten binnen zwei Wochen mitzuteilen. Er verpflichtet sich, keine neuen unangemessenen Verbindlichkeiten einzugehen. Er wird Sonderzahlungen, Steuererstattungen und Boni offenlegen. Die Gläubiger erhalten jährlich eine kurze Abrechnung über die Zahlungen.</w:t>
      </w:r>
    </w:p>
    <w:p>
      <w:pPr>
        <w:pStyle w:val="Heading2"/>
        <w:spacing w:line="259" w:lineRule="auto" w:after="60"/>
      </w:pPr>
      <w:r>
        <w:rPr>
          <w:rFonts w:ascii="Times New Roman" w:hAnsi="Times New Roman"/>
        </w:rPr>
        <w:t>Scheiternsregel</w:t>
      </w:r>
    </w:p>
    <w:p>
      <w:pPr>
        <w:spacing w:line="259" w:lineRule="auto" w:after="60"/>
        <w:jc w:val="left"/>
      </w:pPr>
      <w:r>
        <w:t>Wenn ein Gläubiger den Plan ablehnt oder nicht antwortet, wird Herr Reimers prüfen, ob ein gerichtlicher Schuldenbereinigungsplan oder unmittelbar der Verbraucherinsolvenzantrag gestellt wird. Die Gläubiger werden darauf hingewiesen, dass eine Ablehnung voraussichtlich nicht zu einer höheren Befriedigung führt.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