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Vollgutachten: Verbraucherinsolvenz Reimers</w:t>
      </w:r>
    </w:p>
    <w:p>
      <w:pPr>
        <w:pStyle w:val="Heading2"/>
        <w:spacing w:before="120" w:after="60" w:line="259" w:lineRule="auto"/>
      </w:pPr>
      <w:r>
        <w:rPr>
          <w:rFonts w:ascii="Times New Roman" w:hAnsi="Times New Roman"/>
          <w:b/>
          <w:sz w:val="22"/>
        </w:rPr>
        <w:t>Auftrag und Aktenlage</w:t>
      </w:r>
    </w:p>
    <w:p>
      <w:pPr>
        <w:spacing w:line="259" w:lineRule="auto" w:after="60"/>
        <w:jc w:val="left"/>
      </w:pPr>
      <w:r>
        <w:t>Dieses Aktenstück ist als zusammenhängendes Arbeitsgutachten angelegt. Es soll nicht nur die vorhandenen Dokumente ordnen, sondern die rechtliche Prüfung so weit ausformulieren, dass die nächsten Schreiben, Anträge, Verhandlungen oder gerichtlichen Schritte daraus unmittelbar entwickelt werden können. Der Kern liegt bei Verbraucher- oder Regelinsolvenz, vollständige Gläubigerliste, § 302-Attribute, außergerichtlicher Plan und gerichtlicher Antrag. Einschlägige Normräume sind InsO §§ 304-314, § 305, §§ 286-303, §§ 4a-4d, ZPO §§ 850 ff..</w:t>
      </w:r>
    </w:p>
    <w:p>
      <w:pPr>
        <w:pStyle w:val="Heading2"/>
        <w:spacing w:before="120" w:after="60" w:line="259" w:lineRule="auto"/>
      </w:pPr>
      <w:r>
        <w:rPr>
          <w:rFonts w:ascii="Times New Roman" w:hAnsi="Times New Roman"/>
          <w:b/>
          <w:sz w:val="22"/>
        </w:rPr>
        <w:t>Tatsächlicher Prüfrahmen</w:t>
      </w:r>
    </w:p>
    <w:p>
      <w:pPr>
        <w:spacing w:line="259" w:lineRule="auto" w:after="60"/>
        <w:jc w:val="left"/>
      </w:pPr>
      <w:r>
        <w:t>Die Akte zeigt mehrere typische Brüche. Ein Teil der Unterlagen ist technisch oder kaufmännisch formuliert, ein anderer Teil rechtlich. Einzelne E-Mails wirken eindeutig, lassen aber offen, ob sie Vollmachten, Beschlüsse, Zustellungen, Fristen oder nur Gesprächsstände dokumentieren. Deshalb wird jedes Dokument mit drei Fragen gelesen: Welche Tatsache wird dadurch belegt? Welche Rechtsfolge soll daran geknüpft werden? Welche Gegenbehauptung ist realistisch?</w:t>
      </w:r>
    </w:p>
    <w:p>
      <w:pPr>
        <w:pStyle w:val="Heading2"/>
        <w:spacing w:before="120" w:after="60" w:line="259" w:lineRule="auto"/>
      </w:pPr>
      <w:r>
        <w:rPr>
          <w:rFonts w:ascii="Times New Roman" w:hAnsi="Times New Roman"/>
          <w:b/>
          <w:sz w:val="22"/>
        </w:rPr>
        <w:t>Normprogramm</w:t>
      </w:r>
    </w:p>
    <w:p>
      <w:pPr>
        <w:spacing w:line="259" w:lineRule="auto" w:after="60"/>
        <w:jc w:val="left"/>
      </w:pPr>
      <w:r>
        <w:t>Die Prüfung beginnt mit der Zuständigkeit und der richtigen Rechtsnatur des Vorgangs. Danach werden Anspruchsgrundlagen, Einwendungen, Formfragen, Fristen, Beweislast und Rechtsfolgen getrennt geprüft. Bei Verbraucherinsolvenz Reimers genügt es nicht, eine einzelne Norm zu nennen. Die Akte verlangt eine Matrix aus InsO §§ 304-314, § 305, §§ 286-303, §§ 4a-4d, ZPO §§ 850 ff.. Diese Matrix entscheidet, ob die Mandantenseite gestalten, abwehren, nachfordern, genehmigen, widersprechen oder sofort gerichtlichen Rechtsschutz vorbereiten muss.</w:t>
      </w:r>
    </w:p>
    <w:p>
      <w:pPr>
        <w:pStyle w:val="Heading2"/>
        <w:spacing w:before="120" w:after="60" w:line="259" w:lineRule="auto"/>
      </w:pPr>
      <w:r>
        <w:rPr>
          <w:rFonts w:ascii="Times New Roman" w:hAnsi="Times New Roman"/>
          <w:b/>
          <w:sz w:val="22"/>
        </w:rPr>
        <w:t>Subsumtion I: Ausgangsposition</w:t>
      </w:r>
    </w:p>
    <w:p>
      <w:pPr>
        <w:spacing w:line="259" w:lineRule="auto" w:after="60"/>
        <w:jc w:val="left"/>
      </w:pPr>
      <w:r>
        <w:t>Die Mandantenseite hat eine vertretbare, aber nicht risikolose Ausgangsposition. Sie kann sich auf mehrere Dokumente stützen, die zusammen ein plausibles Bild ergeben. Schwach ist bisher, dass nicht jedes zentrale Tatbestandsmerkmal durch ein Originaldokument belegt ist. Besonders kritisch sind Unterlagen, die nur als Screenshot, Scan, Tabellenstand oder Gesprächsnotiz vorliegen. Diese Unterlagen sind praktisch wertvoll, aber prozessual oder behördlich angreifbar.</w:t>
      </w:r>
    </w:p>
    <w:p>
      <w:pPr>
        <w:pStyle w:val="Heading2"/>
        <w:spacing w:line="259" w:lineRule="auto" w:after="60"/>
      </w:pPr>
      <w:r>
        <w:rPr>
          <w:rFonts w:ascii="Times New Roman" w:hAnsi="Times New Roman"/>
        </w:rPr>
        <w:t>Subsumtion II: Gegenseite und Behördenlogik</w:t>
      </w:r>
    </w:p>
    <w:p>
      <w:pPr>
        <w:spacing w:line="259" w:lineRule="auto" w:after="60"/>
        <w:jc w:val="left"/>
      </w:pPr>
      <w:r>
        <w:t>Die Gegenseite wird voraussichtlich nicht den gesamten Vorgang bestreiten, sondern an einzelnen Scharnieren ansetzen: Zuständigkeit, Frist, Vollständigkeit der Unterlagen, technische Plausibilität, wirtschaftliche Zumutbarkeit oder fehlende Entscheidungserheblichkeit. Deshalb muss die Antwort nicht laut, sondern präzise sein. Sie muss zeigen, dass der Vorgang verstanden wurde und dass die Mandantenseite die relevanten Tatbestandsmerkmale belegen kann.</w:t>
      </w:r>
    </w:p>
    <w:p>
      <w:pPr>
        <w:pStyle w:val="Heading2"/>
        <w:spacing w:line="259" w:lineRule="auto" w:after="60"/>
      </w:pPr>
      <w:r>
        <w:rPr>
          <w:rFonts w:ascii="Times New Roman" w:hAnsi="Times New Roman"/>
        </w:rPr>
        <w:t>Beweis- und Dokumentenstrategie</w:t>
      </w:r>
    </w:p>
    <w:p>
      <w:pPr>
        <w:spacing w:line="259" w:lineRule="auto" w:after="60"/>
        <w:jc w:val="left"/>
      </w:pPr>
      <w:r>
        <w:t>Für jede tragende Behauptung braucht die Akte einen Beleg. Wenn ein Dokument fehlt, wird nicht improvisiert, sondern eine Nachforderung formuliert. Wenn ein Dokument widersprüchlich ist, wird ein Vermerk erstellt, der die Abweichung erklärt. Wenn eine technische Angabe rechtlich relevant ist, muss sie in eine rechtliche Tatsache übersetzt werden: Datum, Ort, Zuständigkeit, Beschluss, Zugang, Messwert, Kostenposition, Eigentumszuordnung, Sicherungsrecht oder konkrete Pflichtverletzung.</w:t>
      </w:r>
    </w:p>
    <w:p>
      <w:pPr>
        <w:pStyle w:val="Heading2"/>
        <w:spacing w:line="259" w:lineRule="auto" w:after="60"/>
      </w:pPr>
      <w:r>
        <w:rPr>
          <w:rFonts w:ascii="Times New Roman" w:hAnsi="Times New Roman"/>
        </w:rPr>
        <w:t>Taktische Bewertung</w:t>
      </w:r>
    </w:p>
    <w:p>
      <w:pPr>
        <w:spacing w:line="259" w:lineRule="auto" w:after="60"/>
        <w:jc w:val="left"/>
      </w:pPr>
      <w:r>
        <w:t>Der beste nächste Schritt ist eine gestufte Reaktion. Zuerst wird die Akte geschlossen: Originale anfordern, Fristen sichern, Zuständigkeit klären, Beweismittel benennen. Zweitens wird ein Außenschreiben entworfen, das die Gegenseite zur Konkretisierung zwingt. Drittens wird ein interner Entscheidungsvermerk erstellt, der Varianten, Kosten und Risiken enthält. Viertens wird ein gerichtlicher oder behördlicher Antrag vorbereitet, aber noch nicht zwingend ausgelöst, solange die außergerichtliche Klärung einen echten Nutzen hat.</w:t>
      </w:r>
    </w:p>
    <w:p>
      <w:pPr>
        <w:pStyle w:val="Heading2"/>
        <w:spacing w:line="259" w:lineRule="auto" w:after="60"/>
      </w:pPr>
      <w:r>
        <w:rPr>
          <w:rFonts w:ascii="Times New Roman" w:hAnsi="Times New Roman"/>
        </w:rPr>
        <w:t>Ergebnis</w:t>
      </w:r>
    </w:p>
    <w:p>
      <w:pPr>
        <w:spacing w:line="259" w:lineRule="auto" w:after="60"/>
        <w:jc w:val="left"/>
      </w:pPr>
      <w:r>
        <w:t>Die Akte ist nicht mit einem einfachen Ja oder Nein erledigt. Sie ist gerade deshalb brauchbar, weil sie realistische Unordnung enthält: unvollständige Anlagen, technische Begriffe, wirtschaftliche Interessen, Fristen und mehrere rechtliche Pfade. Das Plugin soll hier nicht ersetzen, dass ein Mensch entscheidet. Es soll die Entscheidung beschleunigen, die Lücken sichtbar machen und verhindern, dass ein scheinbar kleines Formproblem später den materiell richtigen Standpunkt zerstört.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