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Antrag auf Einholung eines Zweitgutachtens</w:t>
      </w:r>
    </w:p>
    <w:p>
      <w:r>
        <w:rPr>
          <w:rFonts w:ascii="Times New Roman" w:hAnsi="Times New Roman"/>
          <w:b/>
          <w:i w:val="0"/>
          <w:sz w:val="22"/>
        </w:rPr>
        <w:t>Kanzlei Ahlers und Brinkmann, Fachanwälte für Sozialrecht, Oldenburg</w:t>
      </w:r>
    </w:p>
    <w:p>
      <w:r>
        <w:rPr>
          <w:rFonts w:ascii="Times New Roman" w:hAnsi="Times New Roman"/>
          <w:b w:val="0"/>
          <w:i w:val="0"/>
          <w:sz w:val="22"/>
        </w:rPr>
        <w:t>Bearbeiter: Rechtsanwalt Joost Ahlers</w:t>
      </w:r>
    </w:p>
    <w:p>
      <w:r>
        <w:rPr>
          <w:rFonts w:ascii="Times New Roman" w:hAnsi="Times New Roman"/>
          <w:b w:val="0"/>
          <w:i w:val="0"/>
          <w:sz w:val="22"/>
        </w:rPr>
        <w:t>Staulinie 8, 26122 Oldenburg</w:t>
      </w:r>
    </w:p>
    <w:p>
      <w:r>
        <w:rPr>
          <w:rFonts w:ascii="Times New Roman" w:hAnsi="Times New Roman"/>
          <w:b w:val="0"/>
          <w:i w:val="0"/>
          <w:sz w:val="22"/>
        </w:rPr>
        <w:t>Telefon 0441 77 03 30, Telefax 0441 77 03 39</w:t>
      </w:r>
    </w:p>
    <w:p>
      <w:r>
        <w:rPr>
          <w:rFonts w:ascii="Times New Roman" w:hAnsi="Times New Roman"/>
          <w:b w:val="0"/>
          <w:i w:val="0"/>
          <w:sz w:val="22"/>
        </w:rPr>
        <w:t>USt-IdNr. DE 812 447 903</w:t>
      </w:r>
    </w:p>
    <w:p/>
    <w:p>
      <w:r>
        <w:rPr>
          <w:rFonts w:ascii="Times New Roman" w:hAnsi="Times New Roman"/>
          <w:b w:val="0"/>
          <w:i w:val="0"/>
          <w:sz w:val="22"/>
        </w:rPr>
        <w:t>An die Weser-Ems Gesundheitskasse, Leistungsabteilung Hilfsmittel, Schreiben vom 22.06.2026.</w:t>
      </w:r>
    </w:p>
    <w:p>
      <w:pPr>
        <w:pStyle w:val="Heading2"/>
      </w:pPr>
      <w:r>
        <w:t>1. Antrag</w:t>
      </w:r>
    </w:p>
    <w:p>
      <w:r>
        <w:rPr>
          <w:rFonts w:ascii="Times New Roman" w:hAnsi="Times New Roman"/>
          <w:b w:val="0"/>
          <w:i w:val="0"/>
          <w:sz w:val="22"/>
        </w:rPr>
        <w:t>Namens des Herrn Heinz Körner wird beantragt, vor abschließender Entscheidung über den Widerspruch ein unabhängiges Zweitgutachten einzuholen, das auf einer persönlichen Untersuchung und einer praktischen Erprobung des beantragten Elektrorollstuhls im Wohnumfeld beruht.</w:t>
      </w:r>
    </w:p>
    <w:p>
      <w:pPr>
        <w:pStyle w:val="Heading2"/>
      </w:pPr>
      <w:r>
        <w:t>2. Begründung</w:t>
      </w:r>
    </w:p>
    <w:p>
      <w:r>
        <w:rPr>
          <w:rFonts w:ascii="Times New Roman" w:hAnsi="Times New Roman"/>
          <w:b w:val="0"/>
          <w:i w:val="0"/>
          <w:sz w:val="22"/>
        </w:rPr>
        <w:t>Die bisherige Stellungnahme des Medizinischen Dienstes beruht ausschließlich auf Aktenlage, ohne eigene körperliche Untersuchung, Gehprobe oder Erprobung der in Betracht kommenden Hilfsmittel. Demgegenüber stützt sich das private Gutachten von RehaTechnik Albrecht auf eine mehrstündige praktische Erprobung im tatsächlichen Wohnumfeld. Angesichts dieser Diskrepanz erscheint eine erneute, unabhängige Begutachtung sachgerecht.</w:t>
      </w:r>
    </w:p>
    <w:p>
      <w:r>
        <w:rPr>
          <w:rFonts w:ascii="Times New Roman" w:hAnsi="Times New Roman"/>
          <w:b w:val="0"/>
          <w:i w:val="0"/>
          <w:sz w:val="22"/>
        </w:rPr>
        <w:t>Es wird angeregt, mit der Begutachtung eine Fachärztin oder einen Facharzt für Physikalische und Rehabilitative Medizin zu beauftragen, die oder der weder für die Krankenkasse noch für den Kläger bereits tätig geworden ist.</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