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Klageschrift</w:t>
      </w:r>
    </w:p>
    <w:p>
      <w:r>
        <w:rPr>
          <w:rFonts w:ascii="Times New Roman" w:hAnsi="Times New Roman"/>
          <w:b/>
          <w:i w:val="0"/>
          <w:sz w:val="22"/>
        </w:rPr>
        <w:t>Kanzlei Ahlers und Brinkmann, Fachanwälte für Sozialrecht, Oldenburg</w:t>
      </w:r>
    </w:p>
    <w:p>
      <w:r>
        <w:rPr>
          <w:rFonts w:ascii="Times New Roman" w:hAnsi="Times New Roman"/>
          <w:b w:val="0"/>
          <w:i w:val="0"/>
          <w:sz w:val="22"/>
        </w:rPr>
        <w:t>Bearbeiter: Rechtsanwalt Joost Ahlers</w:t>
      </w:r>
    </w:p>
    <w:p>
      <w:r>
        <w:rPr>
          <w:rFonts w:ascii="Times New Roman" w:hAnsi="Times New Roman"/>
          <w:b w:val="0"/>
          <w:i w:val="0"/>
          <w:sz w:val="22"/>
        </w:rPr>
        <w:t>Staulinie 8, 26122 Oldenburg</w:t>
      </w:r>
    </w:p>
    <w:p>
      <w:r>
        <w:rPr>
          <w:rFonts w:ascii="Times New Roman" w:hAnsi="Times New Roman"/>
          <w:b w:val="0"/>
          <w:i w:val="0"/>
          <w:sz w:val="22"/>
        </w:rPr>
        <w:t>Telefon 0441 77 03 30, Telefax 0441 77 03 39</w:t>
      </w:r>
    </w:p>
    <w:p>
      <w:r>
        <w:rPr>
          <w:rFonts w:ascii="Times New Roman" w:hAnsi="Times New Roman"/>
          <w:b w:val="0"/>
          <w:i w:val="0"/>
          <w:sz w:val="22"/>
        </w:rPr>
        <w:t>USt-IdNr. DE 812 447 903</w:t>
      </w:r>
    </w:p>
    <w:p/>
    <w:p>
      <w:pPr>
        <w:jc w:val="right"/>
      </w:pPr>
      <w:r>
        <w:rPr>
          <w:rFonts w:ascii="Times New Roman" w:hAnsi="Times New Roman"/>
          <w:b w:val="0"/>
          <w:i w:val="0"/>
          <w:sz w:val="22"/>
        </w:rPr>
        <w:t>An das Sozialgericht Oldenburg, Klingenbergstraße 4, 26133 Oldenburg</w:t>
      </w:r>
    </w:p>
    <w:p>
      <w:pPr>
        <w:jc w:val="right"/>
      </w:pPr>
      <w:r>
        <w:rPr>
          <w:rFonts w:ascii="Times New Roman" w:hAnsi="Times New Roman"/>
          <w:b w:val="0"/>
          <w:i w:val="0"/>
          <w:sz w:val="22"/>
        </w:rPr>
        <w:t>Oldenburg, den 03.07.2026</w:t>
      </w:r>
    </w:p>
    <w:p/>
    <w:p>
      <w:r>
        <w:rPr>
          <w:rFonts w:ascii="Times New Roman" w:hAnsi="Times New Roman"/>
          <w:b w:val="0"/>
          <w:i w:val="0"/>
          <w:sz w:val="22"/>
        </w:rPr>
        <w:t>In dem Rechtsstreit</w:t>
      </w:r>
    </w:p>
    <w:p>
      <w:r>
        <w:rPr>
          <w:rFonts w:ascii="Times New Roman" w:hAnsi="Times New Roman"/>
          <w:b w:val="0"/>
          <w:i w:val="0"/>
          <w:sz w:val="22"/>
        </w:rPr>
        <w:t>des Herrn Heinz Körner, Peterstraße 18, 26122 Oldenburg, Kläger,</w:t>
      </w:r>
    </w:p>
    <w:p>
      <w:r>
        <w:rPr>
          <w:rFonts w:ascii="Times New Roman" w:hAnsi="Times New Roman"/>
          <w:b w:val="0"/>
          <w:i w:val="0"/>
          <w:sz w:val="22"/>
        </w:rPr>
        <w:t>Prozessbevollmächtigte: Kanzlei Ahlers und Brinkmann, Staulinie 8, 26122 Oldenburg,</w:t>
      </w:r>
    </w:p>
    <w:p>
      <w:r>
        <w:rPr>
          <w:rFonts w:ascii="Times New Roman" w:hAnsi="Times New Roman"/>
          <w:b w:val="0"/>
          <w:i w:val="0"/>
          <w:sz w:val="22"/>
        </w:rPr>
        <w:t>gegen</w:t>
      </w:r>
    </w:p>
    <w:p>
      <w:r>
        <w:rPr>
          <w:rFonts w:ascii="Times New Roman" w:hAnsi="Times New Roman"/>
          <w:b w:val="0"/>
          <w:i w:val="0"/>
          <w:sz w:val="22"/>
        </w:rPr>
        <w:t>die Weser-Ems Gesundheitskasse, Huntestraße 42, 26135 Oldenburg, Beklagte,</w:t>
      </w:r>
    </w:p>
    <w:p/>
    <w:p>
      <w:r>
        <w:rPr>
          <w:rFonts w:ascii="Times New Roman" w:hAnsi="Times New Roman"/>
          <w:b w:val="0"/>
          <w:i w:val="0"/>
          <w:sz w:val="22"/>
        </w:rPr>
        <w:t>wird namens und im Auftrag des Klägers Klage erhoben und beantragt:</w:t>
      </w:r>
    </w:p>
    <w:p>
      <w:pPr>
        <w:pStyle w:val="Heading2"/>
      </w:pPr>
      <w:r>
        <w:t>Anträge</w:t>
      </w:r>
    </w:p>
    <w:p>
      <w:r>
        <w:rPr>
          <w:rFonts w:ascii="Times New Roman" w:hAnsi="Times New Roman"/>
          <w:b w:val="0"/>
          <w:i w:val="0"/>
          <w:sz w:val="22"/>
        </w:rPr>
        <w:t>1. Der Bescheid der Beklagten vom 10.06.2026 in Gestalt des Widerspruchsbescheids vom 24.06.2026 wird aufgehoben.</w:t>
      </w:r>
    </w:p>
    <w:p>
      <w:r>
        <w:rPr>
          <w:rFonts w:ascii="Times New Roman" w:hAnsi="Times New Roman"/>
          <w:b w:val="0"/>
          <w:i w:val="0"/>
          <w:sz w:val="22"/>
        </w:rPr>
        <w:t>2. Die Beklagte wird verurteilt, den Kläger mit einem geeigneten Elektrorollstuhl mit Innenraum- und Nahbereichstauglichkeit entsprechend der Verordnung vom 07.05.2026 zu versorgen.</w:t>
      </w:r>
    </w:p>
    <w:p>
      <w:r>
        <w:rPr>
          <w:rFonts w:ascii="Times New Roman" w:hAnsi="Times New Roman"/>
          <w:b w:val="0"/>
          <w:i w:val="0"/>
          <w:sz w:val="22"/>
        </w:rPr>
        <w:t>3. Die Beklagte trägt die notwendigen außergerichtlichen Kosten des Klägers.</w:t>
      </w:r>
    </w:p>
    <w:p>
      <w:pPr>
        <w:pStyle w:val="Heading2"/>
      </w:pPr>
      <w:r>
        <w:t>Begründung</w:t>
      </w:r>
    </w:p>
    <w:p>
      <w:pPr>
        <w:pStyle w:val="Heading3"/>
      </w:pPr>
      <w:r>
        <w:t>I. Sachverhalt</w:t>
      </w:r>
    </w:p>
    <w:p>
      <w:r>
        <w:rPr>
          <w:rFonts w:ascii="Times New Roman" w:hAnsi="Times New Roman"/>
          <w:b w:val="0"/>
          <w:i w:val="0"/>
          <w:sz w:val="22"/>
        </w:rPr>
        <w:t>Der 78-jährige Kläger leidet an einer Spinalkanalstenose, einer diabetischen Polyneuropathie sowie den Folgen einer Hüft-Totalendoprothese links. Er lebt allein im ersten Obergeschoss eines Altbaus in Oldenburg. Wegen Sturzgefahr, Sensibilitätsstörungen und rascher Erschöpfung ist ihm eine selbständige Fortbewegung im Nahbereich mit den bislang zur Verfügung gestellten Hilfsmitteln nicht möglich.</w:t>
      </w:r>
    </w:p>
    <w:p>
      <w:r>
        <w:rPr>
          <w:rFonts w:ascii="Times New Roman" w:hAnsi="Times New Roman"/>
          <w:b w:val="0"/>
          <w:i w:val="0"/>
          <w:sz w:val="22"/>
        </w:rPr>
        <w:t>Die Beklagte lehnte die Versorgung mit Bescheid vom 10.06.2026 ab und wies den Widerspruch mit Widerspruchsbescheid vom 24.06.2026 zurück.</w:t>
      </w:r>
    </w:p>
    <w:p>
      <w:pPr>
        <w:pStyle w:val="Heading3"/>
      </w:pPr>
      <w:r>
        <w:t>II. Rechtliche Würdigung</w:t>
      </w:r>
    </w:p>
    <w:p>
      <w:r>
        <w:rPr>
          <w:rFonts w:ascii="Times New Roman" w:hAnsi="Times New Roman"/>
          <w:b w:val="0"/>
          <w:i w:val="0"/>
          <w:sz w:val="22"/>
        </w:rPr>
        <w:t>Der Kläger hat einen Anspruch aus Paragraf 33 Absatz 1 SGB V. Der Elektrorollstuhl ist zum Ausgleich der Behinderung im Bereich der Mobilität erforderlich. Nach der Rechtsprechung des Bundessozialgerichts, unter anderem B 3 KR 3/19 R, ist bei der Prüfung des Basisausgleichs nicht allein auf die Fähigkeit zu wenigen Schritten im Wohnbereich abzustellen, sondern auf die Erschließung eines Bewegungsraums, der die Nutzung öffentlicher Wege, Ärzte und Geschäfte im Nahbereich der Wohnung ermöglicht.</w:t>
      </w:r>
    </w:p>
    <w:p>
      <w:r>
        <w:rPr>
          <w:rFonts w:ascii="Times New Roman" w:hAnsi="Times New Roman"/>
          <w:b w:val="0"/>
          <w:i w:val="0"/>
          <w:sz w:val="22"/>
        </w:rPr>
        <w:t>Die von der Beklagten angeführten Alternativen sind nicht gleich geeignet. Ein Rollator setzt ausreichende Standsicherheit und Ausdauer voraus, die beim Kläger wegen der Polyneuropathie nicht durchgehend gegeben sind. Ein manueller Rollstuhl kann vom Kläger wegen der Schulterbeschwerden nicht dauerhaft selbständig angetrieben werden. Beide Alternativen stellen daher keinen vollwertigen Ersatz für den beantragten Elektrorollstuhl dar.</w:t>
      </w:r>
    </w:p>
    <w:p>
      <w:r>
        <w:rPr>
          <w:rFonts w:ascii="Times New Roman" w:hAnsi="Times New Roman"/>
          <w:b w:val="0"/>
          <w:i w:val="0"/>
          <w:sz w:val="22"/>
        </w:rPr>
        <w:t>Das Wirtschaftlichkeitsgebot nach Paragraf 12 SGB V steht dem Anspruch nicht entgegen, da eine nicht geeignete, günstigere Versorgung keine wirtschaftliche Alternative im Sinne dieser Vorschrift darstellt.</w:t>
      </w:r>
    </w:p>
    <w:p>
      <w:pPr>
        <w:pStyle w:val="Heading3"/>
      </w:pPr>
      <w:r>
        <w:t>III. Beweisantritte</w:t>
      </w:r>
    </w:p>
    <w:p>
      <w:r>
        <w:rPr>
          <w:rFonts w:ascii="Times New Roman" w:hAnsi="Times New Roman"/>
          <w:b w:val="0"/>
          <w:i w:val="0"/>
          <w:sz w:val="22"/>
        </w:rPr>
        <w:t>Zum Beweis der Tatsache, dass der Kläger im Nahbereich nicht ausreichend sicher mobil ist, wird angeboten:</w:t>
      </w:r>
    </w:p>
    <w:p>
      <w:r>
        <w:rPr>
          <w:rFonts w:ascii="Times New Roman" w:hAnsi="Times New Roman"/>
          <w:b w:val="0"/>
          <w:i w:val="0"/>
          <w:sz w:val="22"/>
        </w:rPr>
        <w:t>Einholung eines Sachverständigengutachtens zur Gehfähigkeit und Fahrsicherheit,</w:t>
      </w:r>
    </w:p>
    <w:p>
      <w:r>
        <w:rPr>
          <w:rFonts w:ascii="Times New Roman" w:hAnsi="Times New Roman"/>
          <w:b w:val="0"/>
          <w:i w:val="0"/>
          <w:sz w:val="22"/>
        </w:rPr>
        <w:t>Zeugenvernehmung der Tochter des Klägers, Frau Dr. Maren Körner, zum Alltag und zu Sturzereignissen,</w:t>
      </w:r>
    </w:p>
    <w:p>
      <w:r>
        <w:rPr>
          <w:rFonts w:ascii="Times New Roman" w:hAnsi="Times New Roman"/>
          <w:b w:val="0"/>
          <w:i w:val="0"/>
          <w:sz w:val="22"/>
        </w:rPr>
        <w:t>Beiziehung der Behandlungsunterlagen von Dr. Stahlmann und Dr. Radtke.</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