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Feddersen &amp; Osterloh Rechtsanwaelte | Insolvenzverwalter | Oldenburg</w:t>
      </w:r>
    </w:p>
    <w:p>
      <w:pPr>
        <w:pStyle w:val="Heading1"/>
      </w:pPr>
      <w:r>
        <w:t>Replik zur Klageerwiderung</w:t>
      </w:r>
    </w:p>
    <w:p>
      <w:r>
        <w:t>Landgericht Oldenburg, Az. 5 O 612/26</w:t>
      </w:r>
    </w:p>
    <w:p>
      <w:pPr>
        <w:pStyle w:val="Heading2"/>
      </w:pPr>
      <w:r>
        <w:t>Erwiderung</w:t>
      </w:r>
    </w:p>
    <w:p>
      <w:r>
        <w:t>Die Kenntnis der Empfaenger ist fuer den Anfechtungstatbestand des Paragraf 134 InsO ohne Bedeutung; die entsprechende Argumentation der Beklagten zu 2 geht ins Leere. Fuer die Uebertragung des Pkw existiert weder ein schriftlicher Arbeitsvertrag noch eine Lohnjournal-Eintragung fuer die Beklagte zu 1; eine nachtraegliche Anerkennung freiwilliger Mitarbeit stellt keine ausgleichende Gegenleistung dar. Richtiger Anfechtungsgegner fuer die Dachdeckerrechnung ist der Beklagte zu 3, da er durch die Drittzahlung von seiner Werklohnschuld befreit wurde (Paragraf 267 BGB); die behauptete Geruesthilfe ist weder belegt noch vor der Zahlung vereinbart worden.</w:t>
      </w:r>
    </w:p>
    <w:p/>
    <w:p>
      <w:r>
        <w:t>Dr. Jasper Feddersen, 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