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Leo Brandstaetter</w:t>
        <w:br/>
        <w:t>Koenigsallee 78, 40212 Duesseldorf</w:t>
      </w:r>
    </w:p>
    <w:p>
      <w:pPr>
        <w:pStyle w:val="Heading1"/>
      </w:pPr>
      <w:r>
        <w:t>Klageerwiderung</w:t>
      </w:r>
    </w:p>
    <w:p>
      <w:r>
        <w:t>An das Landgericht Moenchengladbach - Az. 5 O 214/26</w:t>
      </w:r>
    </w:p>
    <w:p/>
    <w:p>
      <w:r>
        <w:t>Namens und im Auftrag der Beklagten wird beantragt, die Klage abzuweisen.</w:t>
      </w:r>
    </w:p>
    <w:p>
      <w:pPr>
        <w:pStyle w:val="Heading2"/>
      </w:pPr>
      <w:r>
        <w:t>Begruendung</w:t>
      </w:r>
    </w:p>
    <w:p>
      <w:r>
        <w:t>Die Beklagte hat zum vollen gutachterlich festgestellten Verkehrswert erworben. Der Marktanpassungsabschlag ist gutachterlich ueblich und nicht zu beanstanden; ein Sachverstaendiger duerfe Verwertungsdruck einpreisen, ohne dass dies die Marktueblichkeit des Ergebnisses in Frage stelle. Die Beklagte hatte keinerlei Kenntnis von einer wirtschaftlichen Krise der Schuldnerin; der Hinweis im Gutachten auf die Rueckfuehrung von Bankverbindlichkeiten sei ihr vor Abschluss nicht bekannt gewesen, da sie das Gutachten erst nach Vertragsschluss vollstaendig erhalten habe.</w:t>
      </w:r>
    </w:p>
    <w:p>
      <w:r>
        <w:t>Die wertausschoepfende Belastung schliesse jede Glaeubigerbenachteiligung von vornherein aus; auf den Marktanpassungsabschlag komme es daher nicht an.</w:t>
      </w:r>
    </w:p>
    <w:p/>
    <w:p>
      <w:r>
        <w:t>Dr. Leo Brandstaetter</w:t>
        <w:br/>
        <w:t>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