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Carsten Hellwege - Insolvenzverwalter</w:t>
        <w:br/>
        <w:t>Bismarckstrasse 65, 41061 Moenchengladbach</w:t>
      </w:r>
    </w:p>
    <w:p>
      <w:pPr>
        <w:pStyle w:val="Heading1"/>
      </w:pPr>
      <w:r>
        <w:t>Replik</w:t>
      </w:r>
    </w:p>
    <w:p>
      <w:r>
        <w:t>An das Landgericht Moenchengladbach - Az. 5 O 214/26</w:t>
      </w:r>
    </w:p>
    <w:p/>
    <w:p>
      <w:r>
        <w:t>Die Klageerwiderung ueberzeugt nicht.</w:t>
      </w:r>
    </w:p>
    <w:p>
      <w:r>
        <w:t>1. Der Marktanpassungsabschlag ist ausweislich der Gutachtenformulierung ausdruecklich individuell, nicht marktbezogen begruendet; ein pauschaler Verweis auf gutachterliche Ueblichkeit ersetzt keine Auseinandersetzung mit dem konkreten Gutachtentext.</w:t>
      </w:r>
    </w:p>
    <w:p>
      <w:r>
        <w:t>2. Der Vortrag, das Gutachten sei erst nach Vertragsschluss vollstaendig uebermittelt worden, steht im Widerspruch zur E-Mail der Beklagten vom 29.09.2025, in der bereits auf eine 'interne Bewertung mit Bankinformationen' Bezug genommen wird.</w:t>
      </w:r>
    </w:p>
    <w:p>
      <w:r>
        <w:t>3. Die wertausschoepfende Belastung schliesst allenfalls die mittelbare, nicht aber die unmittelbare Benachteiligung durch den unter Wert liegenden Kaufpreis aus.</w:t>
      </w:r>
    </w:p>
    <w:p>
      <w:r>
        <w:t>Es wird um Terminsbestimmung und Ladung des Sachverstaendigen zur muendlichen Erlaeuterung gebeten.</w:t>
      </w:r>
    </w:p>
    <w:p/>
    <w:p>
      <w:r>
        <w:t>Dr. Carsten Hellwege</w:t>
        <w:br/>
        <w:t>Rechtsanwalt,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