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Diplom-Kaufmann Bernd Osterhage | Oeffentlich bestellter und vereidigter Sachverstaendiger</w:t>
      </w:r>
    </w:p>
    <w:p>
      <w:pPr>
        <w:pStyle w:val="Heading1"/>
      </w:pPr>
      <w:r>
        <w:t>Sachverstaendigengutachten zur Zahlungsunfaehigkeit</w:t>
      </w:r>
    </w:p>
    <w:p>
      <w:r>
        <w:t>Landgericht Kassel, Az. 4 O 318/26</w:t>
      </w:r>
    </w:p>
    <w:p>
      <w:r>
        <w:t>Gutachten vom 08.03.2027</w:t>
      </w:r>
    </w:p>
    <w:p>
      <w:pPr>
        <w:pStyle w:val="Heading2"/>
      </w:pPr>
      <w:r>
        <w:t>Feststellungen</w:t>
      </w:r>
    </w:p>
    <w:p>
      <w:r>
        <w:t>Der Liquiditaetsstatus zeigt zum 15.12.2025 eine Unterdeckung von 92,6 Prozent der faelligen Verbindlichkeiten. Bereits seit dem 01.02.2025 besteht eine durchgehende Luecke von deutlich ueber 10 Prozent ueber mehr als drei Wochen. Die Voraussetzungen der Zahlungsunfaehigkeit im Sinne des Paragraf 17 InsO waren am 18.12.2025 objektiv erfuellt. Die im Sanierungskurzgutachten vom 10.12.2024 als Bedingung genannte Gesellschafterzuschuss-Zahlung von 350.000,00 EUR ist zu keinem Zeitpunkt erfolgt.</w:t>
      </w:r>
    </w:p>
    <w:p/>
    <w:p>
      <w:r>
        <w:t>Diplom-Kaufmann Bernd Osterhage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