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Insolvenzplan - Skizze mit Quotenberechnung (Arbeitsstand)</w:t>
      </w:r>
    </w:p>
    <w:p>
      <w:pPr>
        <w:pStyle w:val="Heading2"/>
      </w:pPr>
      <w:r>
        <w:t>Gestaltender Teil (Skizze)</w:t>
      </w:r>
    </w:p>
    <w:p>
      <w:r>
        <w:t>Die ungesicherten Insolvenzglaeubiger erhalten eine Quote, die aus dem Fortfuehrungsertrag und einem Besserungsschein finanziert wird.</w:t>
      </w:r>
    </w:p>
    <w:p>
      <w:pPr>
        <w:pStyle w:val="Heading2"/>
      </w:pPr>
      <w:r>
        <w:t>Quotenberechnung (vorlaeufig)</w:t>
      </w:r>
    </w:p>
    <w:p>
      <w:r>
        <w:t>Masseerloes aus Fortfuehrung und Verwertung stiller Reserven (Grundstueck, Patente): geschaetzt 2,1 Mio EUR. Massekosten und Masseverbindlichkeiten (Sachwalter, Massekredit, Sozialplan): geschaetzt 1,55 Mio EUR. Verbleibender Betrag fuer ungesicherte Glaeubiger: rund 0,55 Mio EUR bei einer Forderungssumme von 4,9 Mio EUR, entsprechend einer vorlaeufigen Quote von etwa 11 %.</w:t>
      </w:r>
    </w:p>
    <w:p>
      <w:pPr>
        <w:pStyle w:val="Heading2"/>
      </w:pPr>
      <w:r>
        <w:t>Offene Punkte</w:t>
      </w:r>
    </w:p>
    <w:p>
      <w:r>
        <w:t>Die endgueltige Quote haengt vom Ausgang der streitigen Kundenforderung (640.000 EUR) sowie vom Verkaufserloes der Patentfamilie ab. Beide Punkte sind zum Zeitpunkt dieser Skizze nicht abschliessend geklaert.</w:t>
      </w:r>
    </w:p>
    <w:p/>
    <w:p>
      <w:r>
        <w:t>CRO Dr. Matthias Kellerbach, Arbeitsstand 05.08.2026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