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Steuerliche Fortführungsprognose zur Werthaltigkeit der Verlustvorträge</w:t>
      </w:r>
    </w:p>
    <w:p>
      <w:r>
        <w:t>Erstellt durch Kolbe &amp; Nauendorf Steuerberatungsgesellschaft mbH zur Beurteilung der Anwendung des § 3a EStG (Sanierungsertrag) sowie zur Werthaltigkeit koerperschaftsteuerlicher Verlustvortraege.</w:t>
      </w:r>
    </w:p>
    <w:p>
      <w:r>
        <w:t>Zum 31.12.2025 bestehen koerperschaftsteuerliche Verlustvortraege in Hoehe von 2,86 Mio EUR sowie gewerbesteuerliche Verlustvortraege von 2,74 Mio EUR.</w:t>
      </w:r>
    </w:p>
    <w:p>
      <w:r>
        <w:t>Im Rahmen des geplanten Insolvenzplans mit Forderungsverzicht der ungesicherten Glaeubiger in Hoehe von rund 4,35 Mio EUR entsteht ein Sanierungsertrag im Sinne des § 3a EStG. Dieser ist grundsaetzlich steuerfrei, mindert jedoch vorrangig die vorhandenen Verlustvortraege.</w:t>
      </w:r>
    </w:p>
    <w:p>
      <w:r>
        <w:t>Nach der beigefuegten Beispielrechnung verbleibt nach Verrechnung ein Restverlustvortrag von rund 0 EUR koerperschaftsteuerlich und rund 0 EUR gewerbesteuerlich; ein zu versteuernder Sanierungsertrag entsteht nach dieser vorlaeufigen Berechnung nicht.</w:t>
      </w:r>
    </w:p>
    <w:p/>
    <w:p>
      <w:r>
        <w:t>Kolbe &amp; Nauendorf Steuerberatungsgesellschaft mbH, StB Frank Nauendorf, Jena, 12.08.2026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