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Times New Roman" w:hAnsi="Times New Roman"/>
          <w:i/>
          <w:sz w:val="18"/>
        </w:rPr>
        <w:t>Medienrecht Rheinauhafen, Rechtsanwalt Dr. Konstantin Ahrweiler</w:t>
      </w:r>
      <w:r>
        <w:rPr>
          <w:rFonts w:ascii="Times New Roman" w:hAnsi="Times New Roman"/>
          <w:i w:val="0"/>
          <w:sz w:val="18"/>
        </w:rPr>
        <w:br/>
        <w:t>Fachanwalt fuer Urheber- und Medienrecht, Agrippinawerft 8, 50678 Koeln</w:t>
      </w:r>
      <w:r>
        <w:rPr>
          <w:rFonts w:ascii="Times New Roman" w:hAnsi="Times New Roman"/>
          <w:i w:val="0"/>
          <w:sz w:val="18"/>
        </w:rPr>
        <w:br/>
        <w:t>Tel. 0221 690 214 40, Mandat Stadtreporter Koeln, Az. 26-MED-0231</w:t>
      </w:r>
    </w:p>
    <w:p>
      <w:pPr>
        <w:spacing w:after="200"/>
      </w:pPr>
      <w:r>
        <w:rPr>
          <w:sz w:val="16"/>
        </w:rPr>
        <w:t>______________________________________________________________________________</w:t>
      </w:r>
    </w:p>
    <w:p>
      <w:pPr>
        <w:pStyle w:val="Heading1"/>
      </w:pPr>
      <w:r>
        <w:t>Presserechtliche Stellungnahme zur geplanten Berichterstattung</w:t>
      </w:r>
    </w:p>
    <w:p>
      <w:pPr>
        <w:pStyle w:val="Heading2"/>
      </w:pPr>
      <w:r>
        <w:t>1. Auftrag</w:t>
      </w:r>
    </w:p>
    <w:p>
      <w:r>
        <w:t>Der Verlag Stadtreporter Koeln GmbH hat um presserechtliche Pruefung des geplanten Berichts ueber das Wirtschaftsstrafverfahren gegen die ehemalige Finanzvorstaendin Dr. Edda Kurth und die Hafenstadt Projektbau AG gebeten.</w:t>
      </w:r>
    </w:p>
    <w:p>
      <w:pPr>
        <w:pStyle w:val="Heading2"/>
      </w:pPr>
      <w:r>
        <w:t>2. Zulaessigkeit der Namensnennung</w:t>
      </w:r>
    </w:p>
    <w:p>
      <w:r>
        <w:t>Nach beck-online.de dargestellter staendiger Rechtsprechung ist die identifizierende Berichterstattung ueber ein Ermittlungs- oder Strafverfahren nur zulaessig, wenn ein die Belange der Betroffenen ueberwiegendes Informationsinteresse der Oeffentlichkeit besteht und die Verdachtslage hinreichend gesichert ist. Bei Wirtschaftsstraftaten mit erheblichem oeffentlichen Interesse, etwa wegen der Groessenordnung des behaupteten Schadens oder der Stellung der Beschuldigten im oeffentlichen Leben, kann dieses Interesse ueberwiegen.</w:t>
      </w:r>
    </w:p>
    <w:p>
      <w:pPr>
        <w:pStyle w:val="Heading2"/>
      </w:pPr>
      <w:r>
        <w:t>3. Empfehlung zur Formulierung</w:t>
      </w:r>
    </w:p>
    <w:p>
      <w:pPr>
        <w:pStyle w:val="ListBullet"/>
      </w:pPr>
      <w:r>
        <w:t>Tatsachenkern (Anklageerhebung, Vorwurf) klar von Bewertung und Zitat der Verteidigung trennen.</w:t>
      </w:r>
    </w:p>
    <w:p>
      <w:pPr>
        <w:pStyle w:val="ListBullet"/>
      </w:pPr>
      <w:r>
        <w:t>Unschuldsvermutung ausdruecklich benennen, insbesondere im Titel und Teaser.</w:t>
      </w:r>
    </w:p>
    <w:p>
      <w:pPr>
        <w:pStyle w:val="ListBullet"/>
      </w:pPr>
      <w:r>
        <w:t>Stellungnahme der Verteidigung und des Unternehmens vollstaendig einholen und im Kern wiedergeben.</w:t>
      </w:r>
    </w:p>
    <w:p>
      <w:pPr>
        <w:pStyle w:val="ListBullet"/>
      </w:pPr>
      <w:r>
        <w:t>Bei Bildmaterial: nur Aufnahmen aus dem oeffentlichen Sitzungsbereich, unbeteiligte Personen unkenntlich machen.</w:t>
      </w:r>
    </w:p>
    <w:p>
      <w:pPr>
        <w:pStyle w:val="Heading2"/>
      </w:pPr>
      <w:r>
        <w:t>4. Risikoeinschaetzung</w:t>
      </w:r>
    </w:p>
    <w:p>
      <w:r>
        <w:t>Die geplante Berichterstattung ist presserechtlich vertretbar, wenn die genannten Vorgaben eingehalten werden. Ein Restrisiko besteht hinsichtlich der Bezeichnung als vorlaeufig gesicherter Verdacht, da einzelne Details der Anklage der Redaktion nur unvollstaendig vorliegen.</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