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Medienrecht Rheinauhafen, Rechtsanwalt Dr. Konstantin Ahrweiler</w:t>
      </w:r>
      <w:r>
        <w:rPr>
          <w:rFonts w:ascii="Times New Roman" w:hAnsi="Times New Roman"/>
          <w:i w:val="0"/>
          <w:sz w:val="18"/>
        </w:rPr>
        <w:br/>
        <w:t>Fachanwalt fuer Urheber- und Medienrecht, Agrippinawerft 8, 50678 Koeln</w:t>
      </w:r>
      <w:r>
        <w:rPr>
          <w:rFonts w:ascii="Times New Roman" w:hAnsi="Times New Roman"/>
          <w:i w:val="0"/>
          <w:sz w:val="18"/>
        </w:rPr>
        <w:br/>
        <w:t>Tel. 0221 690 214 40, Mandat Stadtreporter Koeln, Az. 26-MED-0231</w:t>
      </w:r>
    </w:p>
    <w:p>
      <w:pPr>
        <w:spacing w:after="200"/>
      </w:pPr>
      <w:r>
        <w:rPr>
          <w:sz w:val="16"/>
        </w:rPr>
        <w:t>______________________________________________________________________________</w:t>
      </w:r>
    </w:p>
    <w:p>
      <w:pPr>
        <w:pStyle w:val="Heading1"/>
      </w:pPr>
      <w:r>
        <w:t>Pruefung anhand der BGH-Kriterien zur Verdachtsberichterstattung</w:t>
      </w:r>
    </w:p>
    <w:p>
      <w:pPr>
        <w:pStyle w:val="Heading2"/>
      </w:pPr>
      <w:r>
        <w:t>1. Massstab</w:t>
      </w:r>
    </w:p>
    <w:p>
      <w:r>
        <w:t>Der Bundesgerichtshof praezisiert die Voraussetzungen zulaessiger Verdachtsberichterstattung fortlaufend, zuletzt unter anderem in den Entscheidungen VI ZR 174/22 und VI ZR 20/22. Danach ist eine identifizierende Verdachtsberichterstattung nur zulaessig, wenn ein Mindestbestand an Beweistatsachen vorliegt, der fuer den Wahrheitsgehalt der Vorwuerfe spricht, die Berichterstattung ergebnisoffen erfolgt, dem Betroffenen vor Veroeffentlichung Gelegenheit zur Stellungnahme gegeben wird und das Informationsinteresse der Oeffentlichkeit das Persoenlichkeitsrecht ueberwiegt.</w:t>
      </w:r>
    </w:p>
    <w:p>
      <w:pPr>
        <w:pStyle w:val="Heading2"/>
      </w:pPr>
      <w:r>
        <w:t>2. Pruefung im Einzelfall</w:t>
      </w:r>
    </w:p>
    <w:tbl>
      <w:tblPr>
        <w:tblStyle w:val="LightGrid-Accent1"/>
        <w:tblW w:type="auto" w:w="0"/>
        <w:tblLook w:firstColumn="1" w:firstRow="1" w:lastColumn="0" w:lastRow="0" w:noHBand="0" w:noVBand="1" w:val="04A0"/>
      </w:tblPr>
      <w:tblGrid>
        <w:gridCol w:w="4844"/>
        <w:gridCol w:w="4844"/>
      </w:tblGrid>
      <w:tr>
        <w:tc>
          <w:tcPr>
            <w:tcW w:type="dxa" w:w="4844"/>
          </w:tcPr>
          <w:p>
            <w:r>
              <w:t>Kriterium</w:t>
            </w:r>
          </w:p>
        </w:tc>
        <w:tc>
          <w:tcPr>
            <w:tcW w:type="dxa" w:w="4844"/>
          </w:tcPr>
          <w:p>
            <w:r>
              <w:t>Befund im Fall Kurth</w:t>
            </w:r>
          </w:p>
        </w:tc>
      </w:tr>
      <w:tr>
        <w:tc>
          <w:tcPr>
            <w:tcW w:type="dxa" w:w="4844"/>
          </w:tcPr>
          <w:p>
            <w:r>
              <w:t>Mindestbestand an Beweistatsachen</w:t>
            </w:r>
          </w:p>
        </w:tc>
        <w:tc>
          <w:tcPr>
            <w:tcW w:type="dxa" w:w="4844"/>
          </w:tcPr>
          <w:p>
            <w:r>
              <w:t>Anklageerhebung liegt vor, Details nur teilweise bekannt</w:t>
            </w:r>
          </w:p>
        </w:tc>
      </w:tr>
      <w:tr>
        <w:tc>
          <w:tcPr>
            <w:tcW w:type="dxa" w:w="4844"/>
          </w:tcPr>
          <w:p>
            <w:r>
              <w:t>Ergebnisoffene Darstellung</w:t>
            </w:r>
          </w:p>
        </w:tc>
        <w:tc>
          <w:tcPr>
            <w:tcW w:type="dxa" w:w="4844"/>
          </w:tcPr>
          <w:p>
            <w:r>
              <w:t>Entwurf trennt Tatsachen, Verdacht und Bewertung, muss aber geschaerft werden</w:t>
            </w:r>
          </w:p>
        </w:tc>
      </w:tr>
      <w:tr>
        <w:tc>
          <w:tcPr>
            <w:tcW w:type="dxa" w:w="4844"/>
          </w:tcPr>
          <w:p>
            <w:r>
              <w:t>Anhoerung vor Veroeffentlichung</w:t>
            </w:r>
          </w:p>
        </w:tc>
        <w:tc>
          <w:tcPr>
            <w:tcW w:type="dxa" w:w="4844"/>
          </w:tcPr>
          <w:p>
            <w:r>
              <w:t>Verteidigung wurde angeschrieben, Frist laeuft</w:t>
            </w:r>
          </w:p>
        </w:tc>
      </w:tr>
      <w:tr>
        <w:tc>
          <w:tcPr>
            <w:tcW w:type="dxa" w:w="4844"/>
          </w:tcPr>
          <w:p>
            <w:r>
              <w:t>Ueberwiegendes Informationsinteresse</w:t>
            </w:r>
          </w:p>
        </w:tc>
        <w:tc>
          <w:tcPr>
            <w:tcW w:type="dxa" w:w="4844"/>
          </w:tcPr>
          <w:p>
            <w:r>
              <w:t>Wirtschaftliche Groessenordnung und oeffentliche Auftragsvergabe sprechen dafuer</w:t>
            </w:r>
          </w:p>
        </w:tc>
      </w:tr>
    </w:tbl>
    <w:p>
      <w:pPr>
        <w:pStyle w:val="Heading2"/>
      </w:pPr>
      <w:r>
        <w:t>3. Offene Punkte aus VI ZR 174/22 und VI ZR 20/22</w:t>
      </w:r>
    </w:p>
    <w:p>
      <w:r>
        <w:t>Beide Entscheidungen betonen zusaetzlich, dass eine spaetere Verfahrenseinstellung oder ein Freispruch nachrichtlich nachverfolgt und in eigener Berichterstattung entsprechend gewuerdigt werden sollte, um eine fortwirkende Prangerwirkung zu vermeiden. Es wird empfohlen, bereits jetzt eine Wiedervorlage fuer den Verfahrensausgang anzulegen.</w:t>
      </w:r>
    </w:p>
    <w:p>
      <w:pPr>
        <w:pStyle w:val="Heading2"/>
      </w:pPr>
      <w:r>
        <w:t>4. Zwischenergebnis</w:t>
      </w:r>
    </w:p>
    <w:p>
      <w:r>
        <w:t>Die geplante Berichterstattung erfuellt die Kernanforderungen der BGH-Rechtsprechung, sofern die Stellungnahme der Verteidigung vollstaendig eingearbeitet wird und die Formulierungen im Titel den Verdachtscharakter erkennbar lassen.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