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Times New Roman" w:hAnsi="Times New Roman"/>
          <w:i/>
          <w:sz w:val="18"/>
        </w:rPr>
        <w:t>Medienrecht Rheinauhafen, Rechtsanwalt Dr. Konstantin Ahrweiler</w:t>
      </w:r>
      <w:r>
        <w:rPr>
          <w:rFonts w:ascii="Times New Roman" w:hAnsi="Times New Roman"/>
          <w:i w:val="0"/>
          <w:sz w:val="18"/>
        </w:rPr>
        <w:br/>
        <w:t>Fachanwalt fuer Urheber- und Medienrecht, Agrippinawerft 8, 50678 Koeln</w:t>
      </w:r>
      <w:r>
        <w:rPr>
          <w:rFonts w:ascii="Times New Roman" w:hAnsi="Times New Roman"/>
          <w:i w:val="0"/>
          <w:sz w:val="18"/>
        </w:rPr>
        <w:br/>
        <w:t>Tel. 0221 690 214 40, Mandat Stadtreporter Koeln, Az. 26-MED-0231</w:t>
      </w:r>
    </w:p>
    <w:p>
      <w:pPr>
        <w:spacing w:after="200"/>
      </w:pPr>
      <w:r>
        <w:rPr>
          <w:sz w:val="16"/>
        </w:rPr>
        <w:t>______________________________________________________________________________</w:t>
      </w:r>
    </w:p>
    <w:p>
      <w:pPr>
        <w:pStyle w:val="Heading1"/>
      </w:pPr>
      <w:r>
        <w:t>Fristenuebersicht - Stand 06.07.2026</w:t>
      </w:r>
    </w:p>
    <w:p>
      <w:pPr>
        <w:pStyle w:val="Heading2"/>
      </w:pPr>
      <w:r>
        <w:t>Laufende Fristen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Frist</w:t>
            </w:r>
          </w:p>
        </w:tc>
        <w:tc>
          <w:tcPr>
            <w:tcW w:type="dxa" w:w="2422"/>
          </w:tcPr>
          <w:p>
            <w:r>
              <w:t>Datum</w:t>
            </w:r>
          </w:p>
        </w:tc>
        <w:tc>
          <w:tcPr>
            <w:tcW w:type="dxa" w:w="2422"/>
          </w:tcPr>
          <w:p>
            <w:r>
              <w:t>Grundlage</w:t>
            </w:r>
          </w:p>
        </w:tc>
        <w:tc>
          <w:tcPr>
            <w:tcW w:type="dxa" w:w="2422"/>
          </w:tcPr>
          <w:p>
            <w:r>
              <w:t>Status</w:t>
            </w:r>
          </w:p>
        </w:tc>
      </w:tr>
      <w:tr>
        <w:tc>
          <w:tcPr>
            <w:tcW w:type="dxa" w:w="2422"/>
          </w:tcPr>
          <w:p>
            <w:r>
              <w:t>Stellungnahmefrist Verteidigung Dr. Kurth</w:t>
            </w:r>
          </w:p>
        </w:tc>
        <w:tc>
          <w:tcPr>
            <w:tcW w:type="dxa" w:w="2422"/>
          </w:tcPr>
          <w:p>
            <w:r>
              <w:t>10.07.2026</w:t>
            </w:r>
          </w:p>
        </w:tc>
        <w:tc>
          <w:tcPr>
            <w:tcW w:type="dxa" w:w="2422"/>
          </w:tcPr>
          <w:p>
            <w:r>
              <w:t>presserechtliche Anfrage vom 03.07.2026</w:t>
            </w:r>
          </w:p>
        </w:tc>
        <w:tc>
          <w:tcPr>
            <w:tcW w:type="dxa" w:w="2422"/>
          </w:tcPr>
          <w:p>
            <w:r>
              <w:t>offen</w:t>
            </w:r>
          </w:p>
        </w:tc>
      </w:tr>
      <w:tr>
        <w:tc>
          <w:tcPr>
            <w:tcW w:type="dxa" w:w="2422"/>
          </w:tcPr>
          <w:p>
            <w:r>
              <w:t>Redaktionsschluss geplanter Bericht</w:t>
            </w:r>
          </w:p>
        </w:tc>
        <w:tc>
          <w:tcPr>
            <w:tcW w:type="dxa" w:w="2422"/>
          </w:tcPr>
          <w:p>
            <w:r>
              <w:t>14.07.2026</w:t>
            </w:r>
          </w:p>
        </w:tc>
        <w:tc>
          <w:tcPr>
            <w:tcW w:type="dxa" w:w="2422"/>
          </w:tcPr>
          <w:p>
            <w:r>
              <w:t>intern</w:t>
            </w:r>
          </w:p>
        </w:tc>
        <w:tc>
          <w:tcPr>
            <w:tcW w:type="dxa" w:w="2422"/>
          </w:tcPr>
          <w:p>
            <w:r>
              <w:t>wird eingehalten, wenn Stellungnahme vorliegt</w:t>
            </w:r>
          </w:p>
        </w:tc>
      </w:tr>
      <w:tr>
        <w:tc>
          <w:tcPr>
            <w:tcW w:type="dxa" w:w="2422"/>
          </w:tcPr>
          <w:p>
            <w:r>
              <w:t>Frist Gegendarstellungsverlangen (nach Veroeffentlichung)</w:t>
            </w:r>
          </w:p>
        </w:tc>
        <w:tc>
          <w:tcPr>
            <w:tcW w:type="dxa" w:w="2422"/>
          </w:tcPr>
          <w:p>
            <w:r>
              <w:t>wird erst mit Druck ausgeloest</w:t>
            </w:r>
          </w:p>
        </w:tc>
        <w:tc>
          <w:tcPr>
            <w:tcW w:type="dxa" w:w="2422"/>
          </w:tcPr>
          <w:p>
            <w:r>
              <w:t>Paragraf 11 Landespressegesetz NRW</w:t>
            </w:r>
          </w:p>
        </w:tc>
        <w:tc>
          <w:tcPr>
            <w:tcW w:type="dxa" w:w="2422"/>
          </w:tcPr>
          <w:p>
            <w:r>
              <w:t>vorsorglich vorgemerkt</w:t>
            </w:r>
          </w:p>
        </w:tc>
      </w:tr>
      <w:tr>
        <w:tc>
          <w:tcPr>
            <w:tcW w:type="dxa" w:w="2422"/>
          </w:tcPr>
          <w:p>
            <w:r>
              <w:t>Pruefung Unterlassungsanspruch bei vorzeitigem Leak</w:t>
            </w:r>
          </w:p>
        </w:tc>
        <w:tc>
          <w:tcPr>
            <w:tcW w:type="dxa" w:w="2422"/>
          </w:tcPr>
          <w:p>
            <w:r>
              <w:t>sofort bei Bekanntwerden</w:t>
            </w:r>
          </w:p>
        </w:tc>
        <w:tc>
          <w:tcPr>
            <w:tcW w:type="dxa" w:w="2422"/>
          </w:tcPr>
          <w:p>
            <w:r>
              <w:t>Paragraf 823, 1004 BGB analog</w:t>
            </w:r>
          </w:p>
        </w:tc>
        <w:tc>
          <w:tcPr>
            <w:tcW w:type="dxa" w:w="2422"/>
          </w:tcPr>
          <w:p>
            <w:r>
              <w:t>Bereitschaftsdienst informiert</w:t>
            </w:r>
          </w:p>
        </w:tc>
      </w:tr>
      <w:tr>
        <w:tc>
          <w:tcPr>
            <w:tcW w:type="dxa" w:w="2422"/>
          </w:tcPr>
          <w:p>
            <w:r>
              <w:t>Wiedervorlage Verfahrensausgang (Einstellung/Freispruch)</w:t>
            </w:r>
          </w:p>
        </w:tc>
        <w:tc>
          <w:tcPr>
            <w:tcW w:type="dxa" w:w="2422"/>
          </w:tcPr>
          <w:p>
            <w:r>
              <w:t>nach Abschluss Hauptverfahren</w:t>
            </w:r>
          </w:p>
        </w:tc>
        <w:tc>
          <w:tcPr>
            <w:tcW w:type="dxa" w:w="2422"/>
          </w:tcPr>
          <w:p>
            <w:r>
              <w:t>Nachberichterstattungspflicht</w:t>
            </w:r>
          </w:p>
        </w:tc>
        <w:tc>
          <w:tcPr>
            <w:tcW w:type="dxa" w:w="2422"/>
          </w:tcPr>
          <w:p>
            <w:r>
              <w:t>Termin noch offen</w:t>
            </w:r>
          </w:p>
        </w:tc>
      </w:tr>
    </w:tbl>
    <w:p>
      <w:pPr>
        <w:pStyle w:val="Heading2"/>
      </w:pPr>
      <w:r>
        <w:t>Hinweis</w:t>
      </w:r>
    </w:p>
    <w:p>
      <w:r>
        <w:t>Die Frist zur Stellungnahme und der geplante Redaktionsschluss liegen nur vier Tage auseinander. Bei verspaeteter Antwort der Verteidigung muss der Redaktionsschluss verschoben werden, um die Anhoerungspflicht zu wahren.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