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sz w:val="18"/>
        </w:rPr>
        <w:t>Medienrecht Rheinauhafen, Rechtsanwalt Dr. Konstantin Ahrweiler</w:t>
      </w:r>
      <w:r>
        <w:rPr>
          <w:rFonts w:ascii="Times New Roman" w:hAnsi="Times New Roman"/>
          <w:i w:val="0"/>
          <w:sz w:val="18"/>
        </w:rPr>
        <w:br/>
        <w:t>Fachanwalt fuer Urheber- und Medienrecht, Agrippinawerft 8, 50678 Koeln</w:t>
      </w:r>
      <w:r>
        <w:rPr>
          <w:rFonts w:ascii="Times New Roman" w:hAnsi="Times New Roman"/>
          <w:i w:val="0"/>
          <w:sz w:val="18"/>
        </w:rPr>
        <w:br/>
        <w:t>Tel. 0221 690 214 40, Mandat Stadtreporter Koeln, Az. 26-MED-0231</w:t>
      </w:r>
    </w:p>
    <w:p>
      <w:pPr>
        <w:spacing w:after="200"/>
      </w:pPr>
      <w:r>
        <w:rPr>
          <w:sz w:val="16"/>
        </w:rPr>
        <w:t>______________________________________________________________________________</w:t>
      </w:r>
    </w:p>
    <w:p>
      <w:pPr>
        <w:pStyle w:val="Heading1"/>
      </w:pPr>
      <w:r>
        <w:t>Klage- und Abwehrstrategie - LG Koeln</w:t>
      </w:r>
    </w:p>
    <w:p>
      <w:pPr>
        <w:pStyle w:val="Heading2"/>
      </w:pPr>
      <w:r>
        <w:t>1. Ausgangslage</w:t>
      </w:r>
    </w:p>
    <w:p>
      <w:r>
        <w:t>Sollte die Hafenstadt Projektbau AG oder Dr. Kurth nach Veroeffentlichung gerichtlich gegen den Bericht vorgehen, ist mit einem Eilantrag auf Unterlassung vor dem Landgericht Koeln zu rechnen, das fuer Presseangelegenheiten im Verlagssitzbezirk zustaendig ist.</w:t>
      </w:r>
    </w:p>
    <w:p>
      <w:pPr>
        <w:pStyle w:val="Heading2"/>
      </w:pPr>
      <w:r>
        <w:t>2. Verteidigungslinien der Redaktion</w:t>
      </w:r>
    </w:p>
    <w:p>
      <w:pPr>
        <w:pStyle w:val="ListBullet"/>
      </w:pPr>
      <w:r>
        <w:t>Nachweis, dass ein Mindestbestand an Beweistatsachen vorlag und die Stellungnahme der Verteidigung eingeholt sowie fair wiedergegeben wurde.</w:t>
      </w:r>
    </w:p>
    <w:p>
      <w:pPr>
        <w:pStyle w:val="ListBullet"/>
      </w:pPr>
      <w:r>
        <w:t>Dokumentation der Recherche in einem internen Vermerk, um die journalistische Sorgfalt im Verfahren belegen zu koennen.</w:t>
      </w:r>
    </w:p>
    <w:p>
      <w:pPr>
        <w:pStyle w:val="ListBullet"/>
      </w:pPr>
      <w:r>
        <w:t>Trennung von Tatsachenbehauptung und Meinungsaeusserung im Text, um eine Unterlassung wegen einzelner Formulierungen zu begrenzen.</w:t>
      </w:r>
    </w:p>
    <w:p>
      <w:pPr>
        <w:pStyle w:val="Heading2"/>
      </w:pPr>
      <w:r>
        <w:t>3. Risiken</w:t>
      </w:r>
    </w:p>
    <w:p>
      <w:r>
        <w:t>Ein Eilverfahren vor dem Landgericht Koeln kann kurzfristig zu einer einstweiligen Verfuegung fuehren, wenn das Gericht die Anhoerung als unzureichend bewertet. Es wird empfohlen, die Anfrage an die Verteidigung nebst Fristsetzung und Eingang der Antwort lueckenlos zu dokumentieren.</w:t>
      </w:r>
    </w:p>
    <w:p>
      <w:pPr>
        <w:pStyle w:val="Heading2"/>
      </w:pPr>
      <w:r>
        <w:t>4. Kostenrisiko</w:t>
      </w:r>
    </w:p>
    <w:p>
      <w:r>
        <w:t>Im Falle eines Unterlassungsverfahrens ist mit einem Streitwert im mittleren fuenfstelligen Bereich zu rechnen; die genaue Festsetzung obliegt dem Landgericht Koeln im Einzelfall.</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