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sz w:val="18"/>
        </w:rPr>
        <w:t>Medienrecht Rheinauhafen, Rechtsanwalt Dr. Konstantin Ahrweiler</w:t>
      </w:r>
      <w:r>
        <w:rPr>
          <w:rFonts w:ascii="Times New Roman" w:hAnsi="Times New Roman"/>
          <w:i w:val="0"/>
          <w:sz w:val="18"/>
        </w:rPr>
        <w:br/>
        <w:t>Fachanwalt fuer Urheber- und Medienrecht, Agrippinawerft 8, 50678 Koeln</w:t>
      </w:r>
      <w:r>
        <w:rPr>
          <w:rFonts w:ascii="Times New Roman" w:hAnsi="Times New Roman"/>
          <w:i w:val="0"/>
          <w:sz w:val="18"/>
        </w:rPr>
        <w:br/>
        <w:t>Tel. 0221 690 214 40, Mandat Stadtreporter Koeln, Az. 26-MED-0231</w:t>
      </w:r>
    </w:p>
    <w:p>
      <w:pPr>
        <w:spacing w:after="200"/>
      </w:pPr>
      <w:r>
        <w:rPr>
          <w:sz w:val="16"/>
        </w:rPr>
        <w:t>______________________________________________________________________________</w:t>
      </w:r>
    </w:p>
    <w:p>
      <w:pPr>
        <w:pStyle w:val="Heading1"/>
      </w:pPr>
      <w:r>
        <w:t>Vorpruefung moegliche Geldentschaedigung</w:t>
      </w:r>
    </w:p>
    <w:p>
      <w:pPr>
        <w:pStyle w:val="Heading2"/>
      </w:pPr>
      <w:r>
        <w:t>1. Ausgangspunkt</w:t>
      </w:r>
    </w:p>
    <w:p>
      <w:r>
        <w:t>Fuer den Fall, dass die geplante Berichterstattung entgegen der presserechtlichen Einschaetzung als rechtswidrig eingestuft wuerde, ist vorsorglich zu pruefen, in welcher Groessenordnung ein Anspruch auf Geldentschaedigung wegen Verletzung des allgemeinen Persoenlichkeitsrechts drohen koennte.</w:t>
      </w:r>
    </w:p>
    <w:p>
      <w:pPr>
        <w:pStyle w:val="Heading2"/>
      </w:pPr>
      <w:r>
        <w:t>2. Bewertungsfaktoren</w:t>
      </w:r>
    </w:p>
    <w:tbl>
      <w:tblPr>
        <w:tblStyle w:val="LightGrid-Accent1"/>
        <w:tblW w:type="auto" w:w="0"/>
        <w:tblLook w:firstColumn="1" w:firstRow="1" w:lastColumn="0" w:lastRow="0" w:noHBand="0" w:noVBand="1" w:val="04A0"/>
      </w:tblPr>
      <w:tblGrid>
        <w:gridCol w:w="4844"/>
        <w:gridCol w:w="4844"/>
      </w:tblGrid>
      <w:tr>
        <w:tc>
          <w:tcPr>
            <w:tcW w:type="dxa" w:w="4844"/>
          </w:tcPr>
          <w:p>
            <w:r>
              <w:t>Faktor</w:t>
            </w:r>
          </w:p>
        </w:tc>
        <w:tc>
          <w:tcPr>
            <w:tcW w:type="dxa" w:w="4844"/>
          </w:tcPr>
          <w:p>
            <w:r>
              <w:t>Einschaetzung</w:t>
            </w:r>
          </w:p>
        </w:tc>
      </w:tr>
      <w:tr>
        <w:tc>
          <w:tcPr>
            <w:tcW w:type="dxa" w:w="4844"/>
          </w:tcPr>
          <w:p>
            <w:r>
              <w:t>Verbreitungsgrad</w:t>
            </w:r>
          </w:p>
        </w:tc>
        <w:tc>
          <w:tcPr>
            <w:tcW w:type="dxa" w:w="4844"/>
          </w:tcPr>
          <w:p>
            <w:r>
              <w:t>regionales Online-Medium, geschaetzt 40000 Leser pro Monat</w:t>
            </w:r>
          </w:p>
        </w:tc>
      </w:tr>
      <w:tr>
        <w:tc>
          <w:tcPr>
            <w:tcW w:type="dxa" w:w="4844"/>
          </w:tcPr>
          <w:p>
            <w:r>
              <w:t>Grad des Verschuldens</w:t>
            </w:r>
          </w:p>
        </w:tc>
        <w:tc>
          <w:tcPr>
            <w:tcW w:type="dxa" w:w="4844"/>
          </w:tcPr>
          <w:p>
            <w:r>
              <w:t>gering, sofern Sorgfaltspflichten eingehalten werden</w:t>
            </w:r>
          </w:p>
        </w:tc>
      </w:tr>
      <w:tr>
        <w:tc>
          <w:tcPr>
            <w:tcW w:type="dxa" w:w="4844"/>
          </w:tcPr>
          <w:p>
            <w:r>
              <w:t>Nachhaltigkeit der Beeintraechtigung</w:t>
            </w:r>
          </w:p>
        </w:tc>
        <w:tc>
          <w:tcPr>
            <w:tcW w:type="dxa" w:w="4844"/>
          </w:tcPr>
          <w:p>
            <w:r>
              <w:t>moeglich durch dauerhafte Auffindbarkeit im Online-Archiv</w:t>
            </w:r>
          </w:p>
        </w:tc>
      </w:tr>
      <w:tr>
        <w:tc>
          <w:tcPr>
            <w:tcW w:type="dxa" w:w="4844"/>
          </w:tcPr>
          <w:p>
            <w:r>
              <w:t>Vergleichsfaelle</w:t>
            </w:r>
          </w:p>
        </w:tc>
        <w:tc>
          <w:tcPr>
            <w:tcW w:type="dxa" w:w="4844"/>
          </w:tcPr>
          <w:p>
            <w:r>
              <w:t>Geldentschaedigungen bei Verdachtsberichterstattung reichen nach veroeffentlichten Entscheidungen von niedrigen bis mittleren vierstelligen Betraegen</w:t>
            </w:r>
          </w:p>
        </w:tc>
      </w:tr>
    </w:tbl>
    <w:p>
      <w:pPr>
        <w:pStyle w:val="Heading2"/>
      </w:pPr>
      <w:r>
        <w:t>3. Einschaetzung</w:t>
      </w:r>
    </w:p>
    <w:p>
      <w:r>
        <w:t>Bei Einhaltung der besprochenen presserechtlichen Vorgaben ist das Risiko einer Geldentschaedigung als gering einzustufen. Ein relevantes Risiko entsteht vor allem, wenn identifizierende Bildaufnahmen unbeteiligter Personen verwendet oder die Anhoerungspflicht verletzt wuerde.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