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Times New Roman" w:hAnsi="Times New Roman"/>
          <w:i/>
          <w:sz w:val="18"/>
        </w:rPr>
        <w:t>Medienrecht Rheinauhafen, Rechtsanwalt Dr. Konstantin Ahrweiler</w:t>
      </w:r>
      <w:r>
        <w:rPr>
          <w:rFonts w:ascii="Times New Roman" w:hAnsi="Times New Roman"/>
          <w:i w:val="0"/>
          <w:sz w:val="18"/>
        </w:rPr>
        <w:br/>
        <w:t>Fachanwalt fuer Urheber- und Medienrecht, Agrippinawerft 8, 50678 Koeln</w:t>
      </w:r>
      <w:r>
        <w:rPr>
          <w:rFonts w:ascii="Times New Roman" w:hAnsi="Times New Roman"/>
          <w:i w:val="0"/>
          <w:sz w:val="18"/>
        </w:rPr>
        <w:br/>
        <w:t>Tel. 0221 690 214 40, Mandat Stadtreporter Koeln, Az. 26-MED-0231</w:t>
      </w:r>
    </w:p>
    <w:p>
      <w:pPr>
        <w:spacing w:after="200"/>
      </w:pPr>
      <w:r>
        <w:rPr>
          <w:sz w:val="16"/>
        </w:rPr>
        <w:t>______________________________________________________________________________</w:t>
      </w:r>
    </w:p>
    <w:p>
      <w:pPr>
        <w:pStyle w:val="Heading1"/>
      </w:pPr>
      <w:r>
        <w:t>Pruefung nach Art. 10 EMRK und EGMR-Rechtsprechung</w:t>
      </w:r>
    </w:p>
    <w:p>
      <w:pPr>
        <w:pStyle w:val="Heading2"/>
      </w:pPr>
      <w:r>
        <w:t>1. Massstab</w:t>
      </w:r>
    </w:p>
    <w:p>
      <w:r>
        <w:t>Der Europaeische Gerichtshof fuer Menschenrechte gewichtet die Meinungs- und Pressefreiheit aus Artikel 10 EMRK im Verhaeltnis zum Schutz des Privatlebens aus Artikel 8 EMRK anhand mehrerer Kriterien: Beitrag zu einer Debatte von allgemeinem Interesse, Bekanntheitsgrad der betroffenen Person, Gegenstand der Berichterstattung, vorheriges Verhalten der Person, Inhalt, Form und Auswirkungen der Veroeffentlichung sowie die Umstaende der Erlangung der Informationen.</w:t>
      </w:r>
    </w:p>
    <w:p>
      <w:pPr>
        <w:pStyle w:val="Heading2"/>
      </w:pPr>
      <w:r>
        <w:t>2. Anwendung auf den Fall Kurth</w:t>
      </w:r>
    </w:p>
    <w:tbl>
      <w:tblPr>
        <w:tblStyle w:val="LightGrid-Accent1"/>
        <w:tblW w:type="auto" w:w="0"/>
        <w:tblLook w:firstColumn="1" w:firstRow="1" w:lastColumn="0" w:lastRow="0" w:noHBand="0" w:noVBand="1" w:val="04A0"/>
      </w:tblPr>
      <w:tblGrid>
        <w:gridCol w:w="4844"/>
        <w:gridCol w:w="4844"/>
      </w:tblGrid>
      <w:tr>
        <w:tc>
          <w:tcPr>
            <w:tcW w:type="dxa" w:w="4844"/>
          </w:tcPr>
          <w:p>
            <w:r>
              <w:t>Kriterium</w:t>
            </w:r>
          </w:p>
        </w:tc>
        <w:tc>
          <w:tcPr>
            <w:tcW w:type="dxa" w:w="4844"/>
          </w:tcPr>
          <w:p>
            <w:r>
              <w:t>Bewertung</w:t>
            </w:r>
          </w:p>
        </w:tc>
      </w:tr>
      <w:tr>
        <w:tc>
          <w:tcPr>
            <w:tcW w:type="dxa" w:w="4844"/>
          </w:tcPr>
          <w:p>
            <w:r>
              <w:t>Beitrag zu Debatte von allgemeinem Interesse</w:t>
            </w:r>
          </w:p>
        </w:tc>
        <w:tc>
          <w:tcPr>
            <w:tcW w:type="dxa" w:w="4844"/>
          </w:tcPr>
          <w:p>
            <w:r>
              <w:t>hoch, da oeffentliche Auftragsvergabe und Wirtschaftskriminalitaet betroffen sind</w:t>
            </w:r>
          </w:p>
        </w:tc>
      </w:tr>
      <w:tr>
        <w:tc>
          <w:tcPr>
            <w:tcW w:type="dxa" w:w="4844"/>
          </w:tcPr>
          <w:p>
            <w:r>
              <w:t>Bekanntheitsgrad der Person</w:t>
            </w:r>
          </w:p>
        </w:tc>
        <w:tc>
          <w:tcPr>
            <w:tcW w:type="dxa" w:w="4844"/>
          </w:tcPr>
          <w:p>
            <w:r>
              <w:t>mittel, Dr. Kurth war als Finanzvorstaendin oeffentlich sichtbar</w:t>
            </w:r>
          </w:p>
        </w:tc>
      </w:tr>
      <w:tr>
        <w:tc>
          <w:tcPr>
            <w:tcW w:type="dxa" w:w="4844"/>
          </w:tcPr>
          <w:p>
            <w:r>
              <w:t>Vorheriges Verhalten</w:t>
            </w:r>
          </w:p>
        </w:tc>
        <w:tc>
          <w:tcPr>
            <w:tcW w:type="dxa" w:w="4844"/>
          </w:tcPr>
          <w:p>
            <w:r>
              <w:t>keine fruehere freiwillige Oeffentlichkeitsarbeit zu diesem Thema bekannt</w:t>
            </w:r>
          </w:p>
        </w:tc>
      </w:tr>
      <w:tr>
        <w:tc>
          <w:tcPr>
            <w:tcW w:type="dxa" w:w="4844"/>
          </w:tcPr>
          <w:p>
            <w:r>
              <w:t>Form der Veroeffentlichung</w:t>
            </w:r>
          </w:p>
        </w:tc>
        <w:tc>
          <w:tcPr>
            <w:tcW w:type="dxa" w:w="4844"/>
          </w:tcPr>
          <w:p>
            <w:r>
              <w:t>Text mit Bild, Verdachtscharakter muss erkennbar bleiben</w:t>
            </w:r>
          </w:p>
        </w:tc>
      </w:tr>
    </w:tbl>
    <w:p>
      <w:pPr>
        <w:pStyle w:val="Heading2"/>
      </w:pPr>
      <w:r>
        <w:t>3. Ergebnis</w:t>
      </w:r>
    </w:p>
    <w:p>
      <w:r>
        <w:t>Die Abwaegung nach Art. 10 EMRK spricht bei sachlicher, um Ausgewogenheit bemuehter Darstellung fuer ein Ueberwiegen der Pressefreiheit. Die deutsche BGH-Rechtsprechung zur Verdachtsberichterstattung setzt diesen europarechtlichen Rahmen im Ergebnis konsistent um, sodass keine zusaetzlichen Anforderungen ueber die bereits gepruefte Kriterienliste hinaus bestehen.</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