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Times New Roman" w:hAnsi="Times New Roman"/>
          <w:i/>
          <w:sz w:val="18"/>
        </w:rPr>
        <w:t>Medienrecht Rheinauhafen, Rechtsanwalt Dr. Konstantin Ahrweiler</w:t>
      </w:r>
      <w:r>
        <w:rPr>
          <w:rFonts w:ascii="Times New Roman" w:hAnsi="Times New Roman"/>
          <w:i w:val="0"/>
          <w:sz w:val="18"/>
        </w:rPr>
        <w:br/>
        <w:t>Fachanwalt fuer Urheber- und Medienrecht, Agrippinawerft 8, 50678 Koeln</w:t>
      </w:r>
      <w:r>
        <w:rPr>
          <w:rFonts w:ascii="Times New Roman" w:hAnsi="Times New Roman"/>
          <w:i w:val="0"/>
          <w:sz w:val="18"/>
        </w:rPr>
        <w:br/>
        <w:t>Tel. 0221 690 214 40, Mandat Stadtreporter Koeln, Az. 26-MED-0231</w:t>
      </w:r>
    </w:p>
    <w:p>
      <w:pPr>
        <w:spacing w:after="200"/>
      </w:pPr>
      <w:r>
        <w:rPr>
          <w:sz w:val="16"/>
        </w:rPr>
        <w:t>______________________________________________________________________________</w:t>
      </w:r>
    </w:p>
    <w:p>
      <w:pPr>
        <w:pStyle w:val="Heading1"/>
      </w:pPr>
      <w:r>
        <w:t>Kostenuebersicht Kanzlei - Mandat Stadtreporter Koeln</w:t>
      </w:r>
    </w:p>
    <w:p>
      <w:pPr>
        <w:pStyle w:val="Heading2"/>
      </w:pPr>
      <w:r>
        <w:t>1. Gegenstandswerte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Verfahren</w:t>
            </w:r>
          </w:p>
        </w:tc>
        <w:tc>
          <w:tcPr>
            <w:tcW w:type="dxa" w:w="3230"/>
          </w:tcPr>
          <w:p>
            <w:r>
              <w:t>Gegenstandswert</w:t>
            </w:r>
          </w:p>
        </w:tc>
        <w:tc>
          <w:tcPr>
            <w:tcW w:type="dxa" w:w="3230"/>
          </w:tcPr>
          <w:p>
            <w:r>
              <w:t>Grundlage</w:t>
            </w:r>
          </w:p>
        </w:tc>
      </w:tr>
      <w:tr>
        <w:tc>
          <w:tcPr>
            <w:tcW w:type="dxa" w:w="3230"/>
          </w:tcPr>
          <w:p>
            <w:r>
              <w:t>Presserechtliche Pruefung vor Veroeffentlichung</w:t>
            </w:r>
          </w:p>
        </w:tc>
        <w:tc>
          <w:tcPr>
            <w:tcW w:type="dxa" w:w="3230"/>
          </w:tcPr>
          <w:p>
            <w:r>
              <w:t>Pauschalhonorar</w:t>
            </w:r>
          </w:p>
        </w:tc>
        <w:tc>
          <w:tcPr>
            <w:tcW w:type="dxa" w:w="3230"/>
          </w:tcPr>
          <w:p>
            <w:r>
              <w:t>Vereinbarung Rahmenmandat</w:t>
            </w:r>
          </w:p>
        </w:tc>
      </w:tr>
      <w:tr>
        <w:tc>
          <w:tcPr>
            <w:tcW w:type="dxa" w:w="3230"/>
          </w:tcPr>
          <w:p>
            <w:r>
              <w:t>Vorsorgliche Pruefung Unterlassungsrisiko</w:t>
            </w:r>
          </w:p>
        </w:tc>
        <w:tc>
          <w:tcPr>
            <w:tcW w:type="dxa" w:w="3230"/>
          </w:tcPr>
          <w:p>
            <w:r>
              <w:t>geschaetzt 30000 EUR</w:t>
            </w:r>
          </w:p>
        </w:tc>
        <w:tc>
          <w:tcPr>
            <w:tcW w:type="dxa" w:w="3230"/>
          </w:tcPr>
          <w:p>
            <w:r>
              <w:t>Streitwert vergleichbarer Verfahren</w:t>
            </w:r>
          </w:p>
        </w:tc>
      </w:tr>
      <w:tr>
        <w:tc>
          <w:tcPr>
            <w:tcW w:type="dxa" w:w="3230"/>
          </w:tcPr>
          <w:p>
            <w:r>
              <w:t>Vorsorgliche Pruefung Geldentschaedigung</w:t>
            </w:r>
          </w:p>
        </w:tc>
        <w:tc>
          <w:tcPr>
            <w:tcW w:type="dxa" w:w="3230"/>
          </w:tcPr>
          <w:p>
            <w:r>
              <w:t>geschaetzt 15000 EUR</w:t>
            </w:r>
          </w:p>
        </w:tc>
        <w:tc>
          <w:tcPr>
            <w:tcW w:type="dxa" w:w="3230"/>
          </w:tcPr>
          <w:p>
            <w:r>
              <w:t>Streitwert vergleichbarer Verfahren</w:t>
            </w:r>
          </w:p>
        </w:tc>
      </w:tr>
    </w:tbl>
    <w:p>
      <w:pPr>
        <w:pStyle w:val="Heading2"/>
      </w:pPr>
      <w:r>
        <w:t>2. Bisherige Taetigkeiten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Datum</w:t>
            </w:r>
          </w:p>
        </w:tc>
        <w:tc>
          <w:tcPr>
            <w:tcW w:type="dxa" w:w="2422"/>
          </w:tcPr>
          <w:p>
            <w:r>
              <w:t>Taetigkeit</w:t>
            </w:r>
          </w:p>
        </w:tc>
        <w:tc>
          <w:tcPr>
            <w:tcW w:type="dxa" w:w="2422"/>
          </w:tcPr>
          <w:p>
            <w:r>
              <w:t>Zeitaufwand</w:t>
            </w:r>
          </w:p>
        </w:tc>
        <w:tc>
          <w:tcPr>
            <w:tcW w:type="dxa" w:w="2422"/>
          </w:tcPr>
          <w:p>
            <w:r>
              <w:t>Betrag</w:t>
            </w:r>
          </w:p>
        </w:tc>
      </w:tr>
      <w:tr>
        <w:tc>
          <w:tcPr>
            <w:tcW w:type="dxa" w:w="2422"/>
          </w:tcPr>
          <w:p>
            <w:r>
              <w:t>24.06.2026</w:t>
            </w:r>
          </w:p>
        </w:tc>
        <w:tc>
          <w:tcPr>
            <w:tcW w:type="dxa" w:w="2422"/>
          </w:tcPr>
          <w:p>
            <w:r>
              <w:t>Erstpruefung Redaktionsentwurf</w:t>
            </w:r>
          </w:p>
        </w:tc>
        <w:tc>
          <w:tcPr>
            <w:tcW w:type="dxa" w:w="2422"/>
          </w:tcPr>
          <w:p>
            <w:r>
              <w:t>90 Minuten</w:t>
            </w:r>
          </w:p>
        </w:tc>
        <w:tc>
          <w:tcPr>
            <w:tcW w:type="dxa" w:w="2422"/>
          </w:tcPr>
          <w:p>
            <w:r>
              <w:t>270 EUR</w:t>
            </w:r>
          </w:p>
        </w:tc>
      </w:tr>
      <w:tr>
        <w:tc>
          <w:tcPr>
            <w:tcW w:type="dxa" w:w="2422"/>
          </w:tcPr>
          <w:p>
            <w:r>
              <w:t>26.06.2026</w:t>
            </w:r>
          </w:p>
        </w:tc>
        <w:tc>
          <w:tcPr>
            <w:tcW w:type="dxa" w:w="2422"/>
          </w:tcPr>
          <w:p>
            <w:r>
              <w:t>Auswertung Verteidigerhinweis</w:t>
            </w:r>
          </w:p>
        </w:tc>
        <w:tc>
          <w:tcPr>
            <w:tcW w:type="dxa" w:w="2422"/>
          </w:tcPr>
          <w:p>
            <w:r>
              <w:t>45 Minuten</w:t>
            </w:r>
          </w:p>
        </w:tc>
        <w:tc>
          <w:tcPr>
            <w:tcW w:type="dxa" w:w="2422"/>
          </w:tcPr>
          <w:p>
            <w:r>
              <w:t>135 EUR</w:t>
            </w:r>
          </w:p>
        </w:tc>
      </w:tr>
      <w:tr>
        <w:tc>
          <w:tcPr>
            <w:tcW w:type="dxa" w:w="2422"/>
          </w:tcPr>
          <w:p>
            <w:r>
              <w:t>01.07.2026</w:t>
            </w:r>
          </w:p>
        </w:tc>
        <w:tc>
          <w:tcPr>
            <w:tcW w:type="dxa" w:w="2422"/>
          </w:tcPr>
          <w:p>
            <w:r>
              <w:t>BGH-Kriterien-Pruefung</w:t>
            </w:r>
          </w:p>
        </w:tc>
        <w:tc>
          <w:tcPr>
            <w:tcW w:type="dxa" w:w="2422"/>
          </w:tcPr>
          <w:p>
            <w:r>
              <w:t>120 Minuten</w:t>
            </w:r>
          </w:p>
        </w:tc>
        <w:tc>
          <w:tcPr>
            <w:tcW w:type="dxa" w:w="2422"/>
          </w:tcPr>
          <w:p>
            <w:r>
              <w:t>360 EUR</w:t>
            </w:r>
          </w:p>
        </w:tc>
      </w:tr>
      <w:tr>
        <w:tc>
          <w:tcPr>
            <w:tcW w:type="dxa" w:w="2422"/>
          </w:tcPr>
          <w:p>
            <w:r>
              <w:t>04.07.2026</w:t>
            </w:r>
          </w:p>
        </w:tc>
        <w:tc>
          <w:tcPr>
            <w:tcW w:type="dxa" w:w="2422"/>
          </w:tcPr>
          <w:p>
            <w:r>
              <w:t>EGMR-Pruefung Art. 10 EMRK</w:t>
            </w:r>
          </w:p>
        </w:tc>
        <w:tc>
          <w:tcPr>
            <w:tcW w:type="dxa" w:w="2422"/>
          </w:tcPr>
          <w:p>
            <w:r>
              <w:t>90 Minuten</w:t>
            </w:r>
          </w:p>
        </w:tc>
        <w:tc>
          <w:tcPr>
            <w:tcW w:type="dxa" w:w="2422"/>
          </w:tcPr>
          <w:p>
            <w:r>
              <w:t>270 EUR</w:t>
            </w:r>
          </w:p>
        </w:tc>
      </w:tr>
      <w:tr>
        <w:tc>
          <w:tcPr>
            <w:tcW w:type="dxa" w:w="2422"/>
          </w:tcPr>
          <w:p>
            <w:r>
              <w:t>06.07.2026</w:t>
            </w:r>
          </w:p>
        </w:tc>
        <w:tc>
          <w:tcPr>
            <w:tcW w:type="dxa" w:w="2422"/>
          </w:tcPr>
          <w:p>
            <w:r>
              <w:t>Abstimmung Klagestrategie</w:t>
            </w:r>
          </w:p>
        </w:tc>
        <w:tc>
          <w:tcPr>
            <w:tcW w:type="dxa" w:w="2422"/>
          </w:tcPr>
          <w:p>
            <w:r>
              <w:t>60 Minuten</w:t>
            </w:r>
          </w:p>
        </w:tc>
        <w:tc>
          <w:tcPr>
            <w:tcW w:type="dxa" w:w="2422"/>
          </w:tcPr>
          <w:p>
            <w:r>
              <w:t>180 EUR</w:t>
            </w:r>
          </w:p>
        </w:tc>
      </w:tr>
    </w:tbl>
    <w:p>
      <w:pPr>
        <w:pStyle w:val="Heading2"/>
      </w:pPr>
      <w:r>
        <w:t>3. Honorarvereinbarung</w:t>
      </w:r>
    </w:p>
    <w:p>
      <w:r>
        <w:t>Rahmenmandat mit der Stadtreporter Koeln GmbH, Stundensatz 180 EUR zzgl. Umsatzsteuer fuer Einzelpruefungen ausserhalb des monatlichen Pauschalbudgets. Abrechnung erfolgt monatlich gesammelt.</w:t>
      </w:r>
    </w:p>
    <w:p>
      <w:pPr>
        <w:pStyle w:val="Heading2"/>
      </w:pPr>
      <w:r>
        <w:t>4. Offene Punkte</w:t>
      </w:r>
    </w:p>
    <w:p>
      <w:r>
        <w:t>Es ist zu klaeren, ob im Fall eines gerichtlichen Verfahrens eine gesonderte Vereinbarung fuer die Prozessvertretung getroffen wird oder das Rahmenmandat entsprechend erweitert wird.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