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Mainz</w:t>
      </w:r>
    </w:p>
    <w:p>
      <w:pPr>
        <w:pStyle w:val="Heading1"/>
      </w:pPr>
      <w:r>
        <w:t>Urteil</w:t>
      </w:r>
    </w:p>
    <w:p>
      <w:r>
        <w:t>Az. 8 O 214/26</w:t>
      </w:r>
    </w:p>
    <w:p>
      <w:r>
        <w:t>verkuendet am 18.05.2027</w:t>
      </w:r>
    </w:p>
    <w:p>
      <w:pPr>
        <w:pStyle w:val="Heading2"/>
      </w:pPr>
      <w:r>
        <w:t>Tenor</w:t>
      </w:r>
    </w:p>
    <w:p>
      <w:r>
        <w:t>1. Die Beklagte wird verurteilt, an die Klaegerin 360.000,00 EUR nebst Zinsen in Hoehe von 5 Prozentpunkten ueber dem Basiszinssatz seit dem 01.05.2026 zu zahlen.</w:t>
      </w:r>
    </w:p>
    <w:p>
      <w:r>
        <w:t>2. Die Beklagte traegt die Kosten des Rechtsstreits.</w:t>
      </w:r>
    </w:p>
    <w:p>
      <w:r>
        <w:t>3. Das Urteil ist vorlaeufig vollstreckbar gegen Sicherheitsleistung in Hoehe von 120 Prozent des jeweils zu vollstreckenden Betrags.</w:t>
      </w:r>
    </w:p>
    <w:p>
      <w:pPr>
        <w:pStyle w:val="Heading2"/>
      </w:pPr>
      <w:r>
        <w:t>Entscheidungsgruende</w:t>
      </w:r>
    </w:p>
    <w:p>
      <w:r>
        <w:t>Die Kammer ist nach dem Ergebnis der Beweisaufnahme davon ueberzeugt, dass die Beklagte aufgrund der eigenen Kontodaten und der Aussage der Zeugin Vietinghoff Kenntnis von der Zahlungsunfaehigkeit der Schuldnerin hatte. Das Sachverstaendigengutachten bestaetigt den Eintritt der Zahlungsunfaehigkeit bereits im April 2025. Die dreistufige Linienherabsetzung mit anschliessender Vereinnahmung der Zahlungseingaenge stellt eine inkongruente Deckung gemaess Paragraf 131 Abs. 1 InsO dar. Der Bargeschaeftseinwand greift nicht, da die Beklagte keine neue gleichwertige Gegenleistung erbracht hat.</w:t>
      </w:r>
    </w:p>
    <w:p/>
    <w:p>
      <w:r>
        <w:t>Die Vorsitzende Richterin am Landgericht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