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Ilka Bernstorf | Insolvenzverwalterin | Mainz</w:t>
      </w:r>
    </w:p>
    <w:p>
      <w:pPr>
        <w:pStyle w:val="Heading1"/>
      </w:pPr>
      <w:r>
        <w:t>Schlussvermerk zur Handakte</w:t>
      </w:r>
    </w:p>
    <w:p>
      <w:r>
        <w:t>Insolvenzverfahren Domblick Weinkellerei-Betriebs-GmbH, Az. 273 IN 45/26</w:t>
      </w:r>
    </w:p>
    <w:p>
      <w:r>
        <w:t>Vermerk vom 02.07.2027</w:t>
      </w:r>
    </w:p>
    <w:p>
      <w:pPr>
        <w:pStyle w:val="Heading2"/>
      </w:pPr>
      <w:r>
        <w:t>Zusammenfassung</w:t>
      </w:r>
    </w:p>
    <w:p>
      <w:r>
        <w:t>Das Urteil des Landgerichts Mainz vom 18.05.2027 (Az. 8 O 214/26) ist seit dem 20.06.2027 rechtskraeftig, nachdem die Beklagte auf Rechtsmittel verzichtet hat. Die titulierte Summe von 360.000,00 EUR nebst Zinsen wurde am 28.06.2027 vollstaendig zur Masse gezahlt. Der Anfechtungskomplex Sparkasse Weinbergland Mainz ist damit abgeschlossen.</w:t>
      </w:r>
    </w:p>
    <w:p>
      <w:pPr>
        <w:pStyle w:val="Heading2"/>
      </w:pPr>
      <w:r>
        <w:t>Bewertung</w:t>
      </w:r>
    </w:p>
    <w:p>
      <w:r>
        <w:t>Der Fall zeigt exemplarisch, wie eine formal einvernehmliche Linienherabsetzung materiell eine inkongruente Deckung darstellen kann, wenn die Bank auf eigene Kontodaten gestuetzte Kenntnis von der Zahlungsunfaehigkeit hatte.</w:t>
      </w:r>
    </w:p>
    <w:p/>
    <w:p>
      <w:r>
        <w:t>Dr. Ilka Bernstorf, Insolvenzverwalterin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