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Cornelius Wehrfritz, Rechtsanwalt und Insolvenzverwalter | Ludwig-Erhard-Anlage 4, 90761 Nuernberg</w:t>
      </w:r>
    </w:p>
    <w:p>
      <w:pPr>
        <w:pStyle w:val="Heading1"/>
      </w:pPr>
      <w:r>
        <w:t>Replik</w:t>
      </w:r>
    </w:p>
    <w:p>
      <w:r>
        <w:t>In dem Rechtsstreit Dr. Cornelius Wehrfritz ./. Karow Verpackungswerk GmbH</w:t>
      </w:r>
    </w:p>
    <w:p>
      <w:r>
        <w:t>4 O 812/26 - Landgericht Nuernberg-Fuerth</w:t>
      </w:r>
    </w:p>
    <w:p/>
    <w:p>
      <w:r>
        <w:t>erwidere ich auf die Klageerwiderung vom 26.10.2026 wie folgt:</w:t>
      </w:r>
    </w:p>
    <w:p>
      <w:pPr>
        <w:pStyle w:val="Heading2"/>
      </w:pPr>
      <w:r>
        <w:t>Zum Tatbestand des § 131 Abs. 1 Nr. 1 InsO</w:t>
      </w:r>
    </w:p>
    <w:p>
      <w:r>
        <w:t>Fuer die Barzahlung an der Warenrampe sowie die Kassenpfaendung kommt es entgegen der Auffassung der Beklagten nicht auf deren Kenntnis an. § 131 Abs. 1 Nr. 1 InsO erfasst jede im letzten Monat vor dem Eroeffnungsantrag durch oder wegen einer Zwangsvollstreckung erlangte Deckung unabhaengig von einer Kenntnis oder gar Zahlungsunfaehigkeit. Der Vortrag der Beklagten zur fehlenden Kenntnis geht insoweit ins Leere.</w:t>
      </w:r>
    </w:p>
    <w:p>
      <w:pPr>
        <w:pStyle w:val="Heading2"/>
      </w:pPr>
      <w:r>
        <w:t>Zur Ueberweisung vom 04.03.2026</w:t>
      </w:r>
    </w:p>
    <w:p>
      <w:r>
        <w:t>Die von der Beklagten behauptete Freiwilligkeit der Ueberweisung wird durch die als Anlage K7 vorgelegte Zahlungsaufforderung des Gerichtsvollziehers Heckel vom 02.03.2026 sowie die interne E-Mail des Geschaeftsfuehrers Pflugbeil vom 03.03.2026 widerlegt, in der es woertlich heisst: 'sonst stehen die am 11.03. wieder auf dem Hof'. Die Zahlung erfolgte damit erkennbar zur Abwendung einer unmittelbar bevorstehenden weiteren Vollstreckungsmassnahme und ist mithin ebenfalls inkongruent.</w:t>
      </w:r>
    </w:p>
    <w:p>
      <w:pPr>
        <w:pStyle w:val="Heading2"/>
      </w:pPr>
      <w:r>
        <w:t>Zur Insolvenzreife</w:t>
      </w:r>
    </w:p>
    <w:p>
      <w:r>
        <w:t>Die vom Klaeger vorgelegte Bankspiegel- und BWA-Reihe belegt eine seit dem 01.02.2025 durchgehende Liquiditaetsluecke von deutlich ueber zehn Prozent der faelligen Verbindlichkeiten ueber einen Zeitraum von weit mehr als drei Wochen. Der im Eigenantrag genannte Zeitpunkt Anfang Maerz 2026 ist mit den eigenen Unterlagen der Schuldnerin nicht in Einklang zu bringen und beruht ersichtlich auf einer zu spaeten Selbsteinschaetzung der Geschaeftsfuehrung, nicht auf der tatsaechlichen Vermoegenslage.</w:t>
      </w:r>
    </w:p>
    <w:p>
      <w:r>
        <w:t>Fuer die Hilfstatbestaende der §§ 130, 131 Abs. 1 Nr. 2 und 3 InsO wird an der bereits vorgetragenen Kenntnis der Beklagten festgehalten und ergaenzend auf den internen Kreditvermerk vom 17.11.2025 verwiesen, in dem die Debitorenbuchhaltung der Beklagten die Bonitaet der Schuldnerin ausdruecklich als 'kritisch, Zahlungsverhalten deutlich verschlechtert' einstuft.</w:t>
      </w:r>
    </w:p>
    <w:p/>
    <w:p>
      <w:r>
        <w:t>Dr. Cornelius Wehrfritz, Rechtsanwalt und Insolvenzverwalter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