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Sabine Ottmann | Koenigstrasse 21, 90402 Nuernberg</w:t>
      </w:r>
    </w:p>
    <w:p>
      <w:pPr>
        <w:pStyle w:val="Heading1"/>
      </w:pPr>
      <w:r>
        <w:t>Duplik</w:t>
      </w:r>
    </w:p>
    <w:p>
      <w:r>
        <w:t>In dem Rechtsstreit Dr. Cornelius Wehrfritz ./. Karow Verpackungswerk GmbH</w:t>
      </w:r>
    </w:p>
    <w:p>
      <w:r>
        <w:t>4 O 812/26 - Landgericht Nuernberg-Fuerth</w:t>
      </w:r>
    </w:p>
    <w:p/>
    <w:p>
      <w:r>
        <w:t>nehme ich zur Replik vom 16.11.2026 wie folgt Stellung:</w:t>
      </w:r>
    </w:p>
    <w:p>
      <w:r>
        <w:t>Die Beklagte raeumt nunmehr ein, dass es fuer die Barzahlung und die Kassenpfaendung tatbestandlich nicht auf ihre Kenntnis ankommt, halt jedoch daran fest, dass diese beiden Vorgaenge unabhaengig von der rechtlichen Einordnung wirtschaftlich notwendig gewesen seien, um die eigene Forderung durchzusetzen, und dass eine Rueckgewaehr die Beklagte unbillig treffe.</w:t>
      </w:r>
    </w:p>
    <w:p>
      <w:r>
        <w:t>Zur Ueberweisung vom 04.03.2026 wird bestritten, dass die zitierte interne E-Mail des Geschaeftsfuehrers Pflugbeil der Beklagten in irgendeiner Form bekannt gewesen sei oder ihr zugerechnet werden koenne. Die Beklagte habe die Zahlung als regulaeren Zahlungseingang gebucht.</w:t>
      </w:r>
    </w:p>
    <w:p>
      <w:r>
        <w:t>Der interne Kreditvermerk vom 17.11.2025 wird als unternehmensinterne Risikoeinschaetzung bezeichnet, die keine Aussage ueber eine drohende oder eingetretene Zahlungsunfaehigkeit im Rechtssinne treffe, sondern lediglich das allgemein vorsichtige Kreditmanagement der Beklagten dokumentiere.</w:t>
      </w:r>
    </w:p>
    <w:p>
      <w:r>
        <w:t>An dem Klageabweisungsantrag wird festgehalten.</w:t>
      </w:r>
    </w:p>
    <w:p/>
    <w:p>
      <w:r>
        <w:t>Dr. Sabine Ottmann, Rechtsanwaeltin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