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Operationsbericht, Auszug</w:t>
      </w:r>
    </w:p>
    <w:p>
      <w:r>
        <w:rPr>
          <w:rFonts w:ascii="Times New Roman" w:hAnsi="Times New Roman"/>
          <w:b/>
          <w:i w:val="0"/>
          <w:sz w:val="22"/>
        </w:rPr>
        <w:t>Bruederkrankenhaus Trier</w:t>
      </w:r>
    </w:p>
    <w:p>
      <w:r>
        <w:rPr>
          <w:rFonts w:ascii="Times New Roman" w:hAnsi="Times New Roman"/>
          <w:b w:val="0"/>
          <w:i w:val="0"/>
          <w:sz w:val="22"/>
        </w:rPr>
        <w:t>Abteilung Unfallchirurgie und Orthopaedie</w:t>
      </w:r>
    </w:p>
    <w:p>
      <w:r>
        <w:rPr>
          <w:rFonts w:ascii="Times New Roman" w:hAnsi="Times New Roman"/>
          <w:b w:val="0"/>
          <w:i w:val="0"/>
          <w:sz w:val="22"/>
        </w:rPr>
        <w:t>Nordallee 1, 54292 Trier</w:t>
      </w:r>
    </w:p>
    <w:p/>
    <w:p>
      <w:pPr>
        <w:pStyle w:val="Heading2"/>
      </w:pPr>
      <w:r>
        <w:t>1. Eingriffsdaten</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Times New Roman" w:hAnsi="Times New Roman"/>
                <w:b/>
                <w:sz w:val="20"/>
              </w:rPr>
              <w:t>Feld</w:t>
            </w:r>
          </w:p>
        </w:tc>
        <w:tc>
          <w:tcPr>
            <w:tcW w:type="dxa" w:w="4320"/>
          </w:tcPr>
          <w:p>
            <w:r/>
            <w:r>
              <w:rPr>
                <w:rFonts w:ascii="Times New Roman" w:hAnsi="Times New Roman"/>
                <w:b/>
                <w:sz w:val="20"/>
              </w:rPr>
              <w:t>Angabe</w:t>
            </w:r>
          </w:p>
        </w:tc>
      </w:tr>
      <w:tr>
        <w:tc>
          <w:tcPr>
            <w:tcW w:type="dxa" w:w="4320"/>
          </w:tcPr>
          <w:p>
            <w:r/>
            <w:r>
              <w:rPr>
                <w:rFonts w:ascii="Times New Roman" w:hAnsi="Times New Roman"/>
                <w:sz w:val="20"/>
              </w:rPr>
              <w:t>Operationsdatum</w:t>
            </w:r>
          </w:p>
        </w:tc>
        <w:tc>
          <w:tcPr>
            <w:tcW w:type="dxa" w:w="4320"/>
          </w:tcPr>
          <w:p>
            <w:r/>
            <w:r>
              <w:rPr>
                <w:rFonts w:ascii="Times New Roman" w:hAnsi="Times New Roman"/>
                <w:sz w:val="20"/>
              </w:rPr>
              <w:t>21.04.2026</w:t>
            </w:r>
          </w:p>
        </w:tc>
      </w:tr>
      <w:tr>
        <w:tc>
          <w:tcPr>
            <w:tcW w:type="dxa" w:w="4320"/>
          </w:tcPr>
          <w:p>
            <w:r/>
            <w:r>
              <w:rPr>
                <w:rFonts w:ascii="Times New Roman" w:hAnsi="Times New Roman"/>
                <w:sz w:val="20"/>
              </w:rPr>
              <w:t>Operateur</w:t>
            </w:r>
          </w:p>
        </w:tc>
        <w:tc>
          <w:tcPr>
            <w:tcW w:type="dxa" w:w="4320"/>
          </w:tcPr>
          <w:p>
            <w:r/>
            <w:r>
              <w:rPr>
                <w:rFonts w:ascii="Times New Roman" w:hAnsi="Times New Roman"/>
                <w:sz w:val="20"/>
              </w:rPr>
              <w:t>Dr. Felix Brandenburger, Oberarzt Unfallchirurgie</w:t>
            </w:r>
          </w:p>
        </w:tc>
      </w:tr>
      <w:tr>
        <w:tc>
          <w:tcPr>
            <w:tcW w:type="dxa" w:w="4320"/>
          </w:tcPr>
          <w:p>
            <w:r/>
            <w:r>
              <w:rPr>
                <w:rFonts w:ascii="Times New Roman" w:hAnsi="Times New Roman"/>
                <w:sz w:val="20"/>
              </w:rPr>
              <w:t>Anaesthesie</w:t>
            </w:r>
          </w:p>
        </w:tc>
        <w:tc>
          <w:tcPr>
            <w:tcW w:type="dxa" w:w="4320"/>
          </w:tcPr>
          <w:p>
            <w:r/>
            <w:r>
              <w:rPr>
                <w:rFonts w:ascii="Times New Roman" w:hAnsi="Times New Roman"/>
                <w:sz w:val="20"/>
              </w:rPr>
              <w:t>Interskalenaere Plexusblockade und Allgemeinanaesthesie</w:t>
            </w:r>
          </w:p>
        </w:tc>
      </w:tr>
      <w:tr>
        <w:tc>
          <w:tcPr>
            <w:tcW w:type="dxa" w:w="4320"/>
          </w:tcPr>
          <w:p>
            <w:r/>
            <w:r>
              <w:rPr>
                <w:rFonts w:ascii="Times New Roman" w:hAnsi="Times New Roman"/>
                <w:sz w:val="20"/>
              </w:rPr>
              <w:t>Diagnose</w:t>
            </w:r>
          </w:p>
        </w:tc>
        <w:tc>
          <w:tcPr>
            <w:tcW w:type="dxa" w:w="4320"/>
          </w:tcPr>
          <w:p>
            <w:r/>
            <w:r>
              <w:rPr>
                <w:rFonts w:ascii="Times New Roman" w:hAnsi="Times New Roman"/>
                <w:sz w:val="20"/>
              </w:rPr>
              <w:t>Teilruptur der Supraspinatussehne rechts, subacromiales Impingement</w:t>
            </w:r>
          </w:p>
        </w:tc>
      </w:tr>
      <w:tr>
        <w:tc>
          <w:tcPr>
            <w:tcW w:type="dxa" w:w="4320"/>
          </w:tcPr>
          <w:p>
            <w:r/>
            <w:r>
              <w:rPr>
                <w:rFonts w:ascii="Times New Roman" w:hAnsi="Times New Roman"/>
                <w:sz w:val="20"/>
              </w:rPr>
              <w:t>Eingriff</w:t>
            </w:r>
          </w:p>
        </w:tc>
        <w:tc>
          <w:tcPr>
            <w:tcW w:type="dxa" w:w="4320"/>
          </w:tcPr>
          <w:p>
            <w:r/>
            <w:r>
              <w:rPr>
                <w:rFonts w:ascii="Times New Roman" w:hAnsi="Times New Roman"/>
                <w:sz w:val="20"/>
              </w:rPr>
              <w:t>Arthroskopische Rotatorenmanschettennaht, subacromiale Dekompression</w:t>
            </w:r>
          </w:p>
        </w:tc>
      </w:tr>
    </w:tbl>
    <w:p/>
    <w:p>
      <w:pPr>
        <w:pStyle w:val="Heading2"/>
      </w:pPr>
      <w:r>
        <w:t>2. Operativer Befund</w:t>
      </w:r>
    </w:p>
    <w:p>
      <w:r>
        <w:rPr>
          <w:rFonts w:ascii="Times New Roman" w:hAnsi="Times New Roman"/>
          <w:b w:val="0"/>
          <w:i w:val="0"/>
          <w:sz w:val="22"/>
        </w:rPr>
        <w:t>Intraoperativ zeigt sich eine partielle, gelenkseitige Ruptur der Supraspinatussehne mit frischem, blutig imbibiertem Randsaum, vereinbar mit einem akuten traumatischen Ereignis auf vorbestehender degenerativer Sehnenstruktur. Zusaetzlich maessige Bursitis subacromialis.</w:t>
      </w:r>
    </w:p>
    <w:p>
      <w:pPr>
        <w:pStyle w:val="Heading2"/>
      </w:pPr>
      <w:r>
        <w:t>3. Operationsverlauf</w:t>
      </w:r>
    </w:p>
    <w:p>
      <w:r>
        <w:rPr>
          <w:rFonts w:ascii="Times New Roman" w:hAnsi="Times New Roman"/>
          <w:b w:val="0"/>
          <w:i w:val="0"/>
          <w:sz w:val="22"/>
        </w:rPr>
        <w:t>Arthroskopischer Zugang ueber Standardportale, Debridement der Rupturzone, transossaere Refixation mit zwei Fadenankern, subacromiale Dekompression mittels Acromioplastik. Intraoperativ kein Hinweis auf ausschliesslich degenerative Genese ohne akuten Anteil.</w:t>
      </w:r>
    </w:p>
    <w:p>
      <w:pPr>
        <w:pStyle w:val="Heading2"/>
      </w:pPr>
      <w:r>
        <w:t>4. Postoperative Anordnung</w:t>
      </w:r>
    </w:p>
    <w:p>
      <w:r>
        <w:rPr>
          <w:rFonts w:ascii="Times New Roman" w:hAnsi="Times New Roman"/>
          <w:b w:val="0"/>
          <w:i w:val="0"/>
          <w:sz w:val="22"/>
        </w:rPr>
        <w:t>Ruhigstellung im Abduktionskissen fuer sechs Wochen, fruehfunktionelle Physiotherapie ab dem dritten postoperativen Tag nach festem Schema, Wiedervorstellung nach zwei Wochen zur Wundkontrolle.</w:t>
      </w:r>
    </w:p>
    <w:p>
      <w:pPr>
        <w:pStyle w:val="Heading2"/>
      </w:pPr>
      <w:r>
        <w:t>5. Anmerkung zur Zusammenhangsfrage</w:t>
      </w:r>
    </w:p>
    <w:p>
      <w:r>
        <w:rPr>
          <w:rFonts w:ascii="Times New Roman" w:hAnsi="Times New Roman"/>
          <w:b w:val="0"/>
          <w:i w:val="0"/>
          <w:sz w:val="22"/>
        </w:rPr>
        <w:t>Der Operateur haelt in der Epikrise fest, dass der intraoperative Befund eine frische traumatische Komponente auf degenerativer Vorschaedigung zeige und die Ruptur ohne das Sturzereignis nach seiner Einschaetzung nicht in diesem Ausmass und Zeitpunkt aufgetreten waere.</w:t>
      </w:r>
    </w:p>
    <w:p>
      <w:r>
        <w:rPr>
          <w:rFonts w:ascii="Times New Roman" w:hAnsi="Times New Roman"/>
          <w:b w:val="0"/>
          <w:i w:val="0"/>
          <w:sz w:val="22"/>
        </w:rPr>
        <w:t>Formathinweis: Dieses Aktenstück wird in Times New Roman, 11 pt, mit ausschließlich dezimaler Gliederung ausgegeben.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