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Detaillierter Durchgangsarztbericht mit Nachbehandlungsverlauf</w:t>
      </w:r>
    </w:p>
    <w:p>
      <w:r>
        <w:rPr>
          <w:rFonts w:ascii="Times New Roman" w:hAnsi="Times New Roman"/>
          <w:b/>
          <w:i w:val="0"/>
          <w:sz w:val="22"/>
        </w:rPr>
        <w:t>Bruederkrankenhaus Trier</w:t>
      </w:r>
    </w:p>
    <w:p>
      <w:r>
        <w:rPr>
          <w:rFonts w:ascii="Times New Roman" w:hAnsi="Times New Roman"/>
          <w:b w:val="0"/>
          <w:i w:val="0"/>
          <w:sz w:val="22"/>
        </w:rPr>
        <w:t>Durchgangsarztpraxis Dr. Reiner Kauth</w:t>
      </w:r>
    </w:p>
    <w:p>
      <w:r>
        <w:rPr>
          <w:rFonts w:ascii="Times New Roman" w:hAnsi="Times New Roman"/>
          <w:b w:val="0"/>
          <w:i w:val="0"/>
          <w:sz w:val="22"/>
        </w:rPr>
        <w:t>Nordallee 1, 54292 Trier</w:t>
      </w:r>
    </w:p>
    <w:p/>
    <w:p>
      <w:pPr>
        <w:pStyle w:val="Heading2"/>
      </w:pPr>
      <w:r>
        <w:t>1. Erstvorstellung</w:t>
      </w:r>
    </w:p>
    <w:p>
      <w:r>
        <w:rPr>
          <w:rFonts w:ascii="Times New Roman" w:hAnsi="Times New Roman"/>
          <w:b w:val="0"/>
          <w:i w:val="0"/>
          <w:sz w:val="22"/>
        </w:rPr>
        <w:t>Erstvorstellung am 03.04.2026 um 8:15 Uhr nach Verlegung aus der Notaufnahme. Diagnosen: Schulterprellung rechts mit Verdacht auf Rotatorenmanschettenruptur, Schaedelprellung ohne Bewusstlosigkeit, Schuerfwunden rechter Ellenbogen. Arbeitsunfaehigkeit ab 03.04.2026.</w:t>
      </w:r>
    </w:p>
    <w:p>
      <w:pPr>
        <w:pStyle w:val="Heading2"/>
      </w:pPr>
      <w:r>
        <w:t>2. Verlaufskontrollen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Datum</w:t>
            </w:r>
          </w:p>
        </w:tc>
        <w:tc>
          <w:tcPr>
            <w:tcW w:type="dxa" w:w="2880"/>
          </w:tcPr>
          <w:p>
            <w:r/>
            <w:r>
              <w:rPr>
                <w:rFonts w:ascii="Times New Roman" w:hAnsi="Times New Roman"/>
                <w:b/>
                <w:sz w:val="20"/>
              </w:rPr>
              <w:t>Befund</w:t>
            </w:r>
          </w:p>
        </w:tc>
        <w:tc>
          <w:tcPr>
            <w:tcW w:type="dxa" w:w="2880"/>
          </w:tcPr>
          <w:p>
            <w:r/>
            <w:r>
              <w:rPr>
                <w:rFonts w:ascii="Times New Roman" w:hAnsi="Times New Roman"/>
                <w:b/>
                <w:sz w:val="20"/>
              </w:rPr>
              <w:t>Massnahme</w:t>
            </w:r>
          </w:p>
        </w:tc>
      </w:tr>
      <w:tr>
        <w:tc>
          <w:tcPr>
            <w:tcW w:type="dxa" w:w="2880"/>
          </w:tcPr>
          <w:p>
            <w:r/>
            <w:r>
              <w:rPr>
                <w:rFonts w:ascii="Times New Roman" w:hAnsi="Times New Roman"/>
                <w:sz w:val="20"/>
              </w:rPr>
              <w:t>10.04.2026</w:t>
            </w:r>
          </w:p>
        </w:tc>
        <w:tc>
          <w:tcPr>
            <w:tcW w:type="dxa" w:w="2880"/>
          </w:tcPr>
          <w:p>
            <w:r/>
            <w:r>
              <w:rPr>
                <w:rFonts w:ascii="Times New Roman" w:hAnsi="Times New Roman"/>
                <w:sz w:val="20"/>
              </w:rPr>
              <w:t>MRT bestaetigt Teilruptur Supraspinatussehne</w:t>
            </w:r>
          </w:p>
        </w:tc>
        <w:tc>
          <w:tcPr>
            <w:tcW w:type="dxa" w:w="2880"/>
          </w:tcPr>
          <w:p>
            <w:r/>
            <w:r>
              <w:rPr>
                <w:rFonts w:ascii="Times New Roman" w:hAnsi="Times New Roman"/>
                <w:sz w:val="20"/>
              </w:rPr>
              <w:t>Operationsindikation gestellt</w:t>
            </w:r>
          </w:p>
        </w:tc>
      </w:tr>
      <w:tr>
        <w:tc>
          <w:tcPr>
            <w:tcW w:type="dxa" w:w="2880"/>
          </w:tcPr>
          <w:p>
            <w:r/>
            <w:r>
              <w:rPr>
                <w:rFonts w:ascii="Times New Roman" w:hAnsi="Times New Roman"/>
                <w:sz w:val="20"/>
              </w:rPr>
              <w:t>16.04.2026</w:t>
            </w:r>
          </w:p>
        </w:tc>
        <w:tc>
          <w:tcPr>
            <w:tcW w:type="dxa" w:w="2880"/>
          </w:tcPr>
          <w:p>
            <w:r/>
            <w:r>
              <w:rPr>
                <w:rFonts w:ascii="Times New Roman" w:hAnsi="Times New Roman"/>
                <w:sz w:val="20"/>
              </w:rPr>
              <w:t>Aufklaerung, praeoperative Diagnostik</w:t>
            </w:r>
          </w:p>
        </w:tc>
        <w:tc>
          <w:tcPr>
            <w:tcW w:type="dxa" w:w="2880"/>
          </w:tcPr>
          <w:p>
            <w:r/>
            <w:r>
              <w:rPr>
                <w:rFonts w:ascii="Times New Roman" w:hAnsi="Times New Roman"/>
                <w:sz w:val="20"/>
              </w:rPr>
              <w:t>OP-Termin 21.04.2026 vereinbart</w:t>
            </w:r>
          </w:p>
        </w:tc>
      </w:tr>
      <w:tr>
        <w:tc>
          <w:tcPr>
            <w:tcW w:type="dxa" w:w="2880"/>
          </w:tcPr>
          <w:p>
            <w:r/>
            <w:r>
              <w:rPr>
                <w:rFonts w:ascii="Times New Roman" w:hAnsi="Times New Roman"/>
                <w:sz w:val="20"/>
              </w:rPr>
              <w:t>05.05.2026</w:t>
            </w:r>
          </w:p>
        </w:tc>
        <w:tc>
          <w:tcPr>
            <w:tcW w:type="dxa" w:w="2880"/>
          </w:tcPr>
          <w:p>
            <w:r/>
            <w:r>
              <w:rPr>
                <w:rFonts w:ascii="Times New Roman" w:hAnsi="Times New Roman"/>
                <w:sz w:val="20"/>
              </w:rPr>
              <w:t>Zwei Wochen postoperativ, reizlose Wundverhaeltnisse</w:t>
            </w:r>
          </w:p>
        </w:tc>
        <w:tc>
          <w:tcPr>
            <w:tcW w:type="dxa" w:w="2880"/>
          </w:tcPr>
          <w:p>
            <w:r/>
            <w:r>
              <w:rPr>
                <w:rFonts w:ascii="Times New Roman" w:hAnsi="Times New Roman"/>
                <w:sz w:val="20"/>
              </w:rPr>
              <w:t>Physiotherapie fortgesetzt</w:t>
            </w:r>
          </w:p>
        </w:tc>
      </w:tr>
      <w:tr>
        <w:tc>
          <w:tcPr>
            <w:tcW w:type="dxa" w:w="2880"/>
          </w:tcPr>
          <w:p>
            <w:r/>
            <w:r>
              <w:rPr>
                <w:rFonts w:ascii="Times New Roman" w:hAnsi="Times New Roman"/>
                <w:sz w:val="20"/>
              </w:rPr>
              <w:t>02.06.2026</w:t>
            </w:r>
          </w:p>
        </w:tc>
        <w:tc>
          <w:tcPr>
            <w:tcW w:type="dxa" w:w="2880"/>
          </w:tcPr>
          <w:p>
            <w:r/>
            <w:r>
              <w:rPr>
                <w:rFonts w:ascii="Times New Roman" w:hAnsi="Times New Roman"/>
                <w:sz w:val="20"/>
              </w:rPr>
              <w:t>Beginn stationaere Anschlussheilbehandlung</w:t>
            </w:r>
          </w:p>
        </w:tc>
        <w:tc>
          <w:tcPr>
            <w:tcW w:type="dxa" w:w="2880"/>
          </w:tcPr>
          <w:p>
            <w:r/>
            <w:r>
              <w:rPr>
                <w:rFonts w:ascii="Times New Roman" w:hAnsi="Times New Roman"/>
                <w:sz w:val="20"/>
              </w:rPr>
              <w:t>Ueberweisung BG Klinik Ludwigshafen</w:t>
            </w:r>
          </w:p>
        </w:tc>
      </w:tr>
      <w:tr>
        <w:tc>
          <w:tcPr>
            <w:tcW w:type="dxa" w:w="2880"/>
          </w:tcPr>
          <w:p>
            <w:r/>
            <w:r>
              <w:rPr>
                <w:rFonts w:ascii="Times New Roman" w:hAnsi="Times New Roman"/>
                <w:sz w:val="20"/>
              </w:rPr>
              <w:t>30.06.2026</w:t>
            </w:r>
          </w:p>
        </w:tc>
        <w:tc>
          <w:tcPr>
            <w:tcW w:type="dxa" w:w="2880"/>
          </w:tcPr>
          <w:p>
            <w:r/>
            <w:r>
              <w:rPr>
                <w:rFonts w:ascii="Times New Roman" w:hAnsi="Times New Roman"/>
                <w:sz w:val="20"/>
              </w:rPr>
              <w:t>Nach Reha, Kraftdefizit rueckläufig, Abduktion 110 Grad</w:t>
            </w:r>
          </w:p>
        </w:tc>
        <w:tc>
          <w:tcPr>
            <w:tcW w:type="dxa" w:w="2880"/>
          </w:tcPr>
          <w:p>
            <w:r/>
            <w:r>
              <w:rPr>
                <w:rFonts w:ascii="Times New Roman" w:hAnsi="Times New Roman"/>
                <w:sz w:val="20"/>
              </w:rPr>
              <w:t>Stufenweise Wiedereingliederung geplant</w:t>
            </w:r>
          </w:p>
        </w:tc>
      </w:tr>
    </w:tbl>
    <w:p/>
    <w:p>
      <w:pPr>
        <w:pStyle w:val="Heading2"/>
      </w:pPr>
      <w:r>
        <w:t>3. Zusammenhangsbeurteilung des Durchgangsarztes</w:t>
      </w:r>
    </w:p>
    <w:p>
      <w:r>
        <w:rPr>
          <w:rFonts w:ascii="Times New Roman" w:hAnsi="Times New Roman"/>
          <w:b w:val="0"/>
          <w:i w:val="0"/>
          <w:sz w:val="22"/>
        </w:rPr>
        <w:t>Dr. Kauth haelt in seinem Zwischenbericht vom 30.06.2026 fest, dass der geschilderte Unfallmechanismus, der intraoperative Befund eines frischen Rupturrandes sowie der zeitliche Zusammenhang zwischen Ereignis und Erstschmerz fuer eine wesentliche Teilursache des Unfalls sprechen. Der Vorschaden werde dadurch nicht bestritten, trete aber nach seiner fachaerztlichen Einschaetzung in der Gesamtwuerdigung in den Hintergrund.</w:t>
      </w:r>
    </w:p>
    <w:p>
      <w:pPr>
        <w:pStyle w:val="Heading2"/>
      </w:pPr>
      <w:r>
        <w:t>4. Arbeitsfaehigkeitsprognose</w:t>
      </w:r>
    </w:p>
    <w:p>
      <w:r>
        <w:rPr>
          <w:rFonts w:ascii="Times New Roman" w:hAnsi="Times New Roman"/>
          <w:b w:val="0"/>
          <w:i w:val="0"/>
          <w:sz w:val="22"/>
        </w:rPr>
        <w:t>Bei planmaessigem Verlauf wird eine Wiederaufnahme leichter Buerotaetigkeiten ab August 2026 fuer moeglich gehalten, eine vollstaendige Rueckkehr zur urspruenglichen koerperlich schweren Lagerleitertaetigkeit ist nach jetzigem Stand ungewiss und haengt vom Ergebnis der Anschlussuntersuchung im September 2026 ab.</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