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i w:val="0"/>
          <w:sz w:val="22"/>
        </w:rPr>
        <w:t>Deutsche Rentenversicherung Bund</w:t>
      </w:r>
    </w:p>
    <w:p>
      <w:r>
        <w:rPr>
          <w:rFonts w:ascii="Times New Roman" w:hAnsi="Times New Roman"/>
          <w:b w:val="0"/>
          <w:i w:val="0"/>
          <w:sz w:val="22"/>
        </w:rPr>
        <w:t>Clearingstelle Sozialversicherungsstatus</w:t>
      </w:r>
    </w:p>
    <w:p>
      <w:r>
        <w:rPr>
          <w:rFonts w:ascii="Times New Roman" w:hAnsi="Times New Roman"/>
          <w:b w:val="0"/>
          <w:i w:val="0"/>
          <w:sz w:val="22"/>
        </w:rPr>
        <w:t>Ruhrstrasse 2, 10709 Berlin</w:t>
      </w:r>
    </w:p>
    <w:p/>
    <w:p>
      <w:pPr>
        <w:pStyle w:val="Heading1"/>
      </w:pPr>
      <w:r>
        <w:t>Bescheid im Statusfeststellungsverfahren</w:t>
      </w:r>
    </w:p>
    <w:p>
      <w:r>
        <w:rPr>
          <w:rFonts w:ascii="Times New Roman" w:hAnsi="Times New Roman"/>
          <w:b w:val="0"/>
          <w:i w:val="0"/>
          <w:sz w:val="22"/>
        </w:rPr>
        <w:t>Aktenzeichen: SV-2023-771402-VOGT - Berlin, den 09.02.2026</w:t>
      </w:r>
    </w:p>
    <w:p>
      <w:r>
        <w:rPr>
          <w:rFonts w:ascii="Times New Roman" w:hAnsi="Times New Roman"/>
          <w:b w:val="0"/>
          <w:i w:val="0"/>
          <w:sz w:val="22"/>
        </w:rPr>
        <w:t>Betroffene: Neuralis MedTech GmbH und Herr Dr. Henrik Vogt</w:t>
      </w:r>
    </w:p>
    <w:p>
      <w:pPr>
        <w:pStyle w:val="Heading2"/>
      </w:pPr>
      <w:r>
        <w:t>1 Entscheidung</w:t>
      </w:r>
    </w:p>
    <w:p>
      <w:r>
        <w:rPr>
          <w:rFonts w:ascii="Times New Roman" w:hAnsi="Times New Roman"/>
          <w:b w:val="0"/>
          <w:i w:val="0"/>
          <w:sz w:val="22"/>
        </w:rPr>
        <w:t>Es wird festgestellt, dass Herr Dr. Henrik Vogt seine Taetigkeit als Geschaeftsfuehrer der Neuralis MedTech GmbH seit dem 01.03.2023 im Rahmen eines abhaengigen Beschaeftigungsverhaeltnisses ausuebt. Es besteht Versicherungspflicht in der gesetzlichen Rentenversicherung und nach dem Recht der Arbeitsfoerderung. Fuer die Kranken- und Pflegeversicherung wird auf die freiwillige beziehungsweise private Absicherung von Herrn Dr. Vogt verwiesen, die von dieser Feststellung unberuehrt bleibt.</w:t>
      </w:r>
    </w:p>
    <w:p>
      <w:pPr>
        <w:pStyle w:val="Heading2"/>
      </w:pPr>
      <w:r>
        <w:t>2 Begruendung</w:t>
      </w:r>
    </w:p>
    <w:p>
      <w:r>
        <w:rPr>
          <w:rFonts w:ascii="Times New Roman" w:hAnsi="Times New Roman"/>
          <w:b w:val="0"/>
          <w:i w:val="0"/>
          <w:sz w:val="22"/>
        </w:rPr>
        <w:t>2.1 Herr Dr. Vogt haelt mit 32 Prozent des Stammkapitals keine beherrschende Mehrheitsbeteiligung. Beschluesse mit einfacher Mehrheit kann er nicht verhindern.</w:t>
      </w:r>
    </w:p>
    <w:p>
      <w:r>
        <w:rPr>
          <w:rFonts w:ascii="Times New Roman" w:hAnsi="Times New Roman"/>
          <w:b w:val="0"/>
          <w:i w:val="0"/>
          <w:sz w:val="22"/>
        </w:rPr>
        <w:t>2.2 Die im September 2025 eingefuehrte Sperrminoritaet nach Paragraf 6.5 des Gesellschaftsvertrags ist auf das Ressort Entwicklung und laufende klinische Studien beschraenkt und vermittelt keine umfassende Sperrminoritaet im Sinne der Rechtsprechung des Bundessozialgerichts.</w:t>
      </w:r>
    </w:p>
    <w:p>
      <w:r>
        <w:rPr>
          <w:rFonts w:ascii="Times New Roman" w:hAnsi="Times New Roman"/>
          <w:b w:val="0"/>
          <w:i w:val="0"/>
          <w:sz w:val="22"/>
        </w:rPr>
        <w:t>2.3 Der Anstellungsvertrag enthaelt mit fester Monatsverguetung, Urlaubsanspruch und Entgeltfortzahlung im Krankheitsfall typische Arbeitnehmerschutzrechte.</w:t>
      </w:r>
    </w:p>
    <w:p>
      <w:r>
        <w:rPr>
          <w:rFonts w:ascii="Times New Roman" w:hAnsi="Times New Roman"/>
          <w:b w:val="0"/>
          <w:i w:val="0"/>
          <w:sz w:val="22"/>
        </w:rPr>
        <w:t>2.4 Der Beirat hat nach den vorgelegten Protokollen wiederholt in operative Entscheidungen eingegriffen, etwa durch die Weisung zur Verschiebung von Neueinstellungen am 06.05.2026 und durch die Verschiebung der klinischen Studie am 14.02.2025.</w:t>
      </w:r>
    </w:p>
    <w:p>
      <w:r>
        <w:rPr>
          <w:rFonts w:ascii="Times New Roman" w:hAnsi="Times New Roman"/>
          <w:b w:val="0"/>
          <w:i w:val="0"/>
          <w:sz w:val="22"/>
        </w:rPr>
        <w:t>2.5 Die persoenliche Buergschaft und das technische Fachwissen von Herrn Dr. Vogt begruenden ein wirtschaftliches Eigeninteresse, ersetzen jedoch nach staendiger Rechtsprechung des Bundessozialgerichts keine gesellschaftsrechtliche Rechtsmacht (vergleiche BSG, Urteil vom 14.03.2018, B 12 KR 13/17 R).</w:t>
      </w:r>
    </w:p>
    <w:p>
      <w:pPr>
        <w:pStyle w:val="Heading2"/>
      </w:pPr>
      <w:r>
        <w:t>3 Beitragsrechtliche Folgen</w:t>
      </w:r>
    </w:p>
    <w:p>
      <w:r>
        <w:rPr>
          <w:rFonts w:ascii="Times New Roman" w:hAnsi="Times New Roman"/>
          <w:b w:val="0"/>
          <w:i w:val="0"/>
          <w:sz w:val="22"/>
        </w:rPr>
        <w:t>Die Neuralis MedTech GmbH wird als Arbeitgeberin zur Nachentrichtung der Gesamtsozialversicherungsbeitraege fuer den Zeitraum vom 01.03.2023 bis laufend herangezogen. Die Berechnung erfolgt gesondert durch den zustaendigen Rentenversicherungstraeger im Rahmen der Betriebspruefung nach Paragraf 28p SGB IV.</w:t>
      </w:r>
    </w:p>
    <w:p>
      <w:pPr>
        <w:pStyle w:val="Heading2"/>
      </w:pPr>
      <w:r>
        <w:t>4 Rechtsbehelfsbelehrung</w:t>
      </w:r>
    </w:p>
    <w:p>
      <w:r>
        <w:rPr>
          <w:rFonts w:ascii="Times New Roman" w:hAnsi="Times New Roman"/>
          <w:b w:val="0"/>
          <w:i w:val="0"/>
          <w:sz w:val="22"/>
        </w:rPr>
        <w:t>Gegen diesen Bescheid kann innerhalb eines Monats nach Bekanntgabe Widerspruch bei der Deutschen Rentenversicherung Bund, Clearingstelle Sozialversicherungsstatus, Ruhrstrasse 2, 10709 Berlin, eingelegt werden.</w:t>
      </w:r>
    </w:p>
    <w:p>
      <w:r>
        <w:rPr>
          <w:rFonts w:ascii="Times New Roman" w:hAnsi="Times New Roman"/>
          <w:b w:val="0"/>
          <w:i w:val="0"/>
          <w:sz w:val="22"/>
        </w:rPr>
        <w:t>Mit freundlichen Gruessen, i.A. Pruefstelle Statusfeststellung</w:t>
      </w:r>
    </w:p>
    <w:p>
      <w:r>
        <w:rPr>
          <w:rFonts w:ascii="Times New Roman" w:hAnsi="Times New Roman"/>
          <w:b w:val="0"/>
          <w:i w:val="0"/>
          <w:sz w:val="22"/>
        </w:rPr>
        <w:t>Formathinweis: Dieses Aktenstück wird in Times New Roman, 11 pt, mit ausschließlich dezimaler Gliederung ausgegeben.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