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2"/>
        </w:rPr>
        <w:t>Kanzlei Rehbogen und Kollegen, Fachanwaelte fuer Sozialrecht und Gesellschaftsrecht</w:t>
      </w:r>
    </w:p>
    <w:p>
      <w:r>
        <w:rPr>
          <w:rFonts w:ascii="Times New Roman" w:hAnsi="Times New Roman"/>
          <w:b w:val="0"/>
          <w:i w:val="0"/>
          <w:sz w:val="22"/>
        </w:rPr>
        <w:t>Rathausplatz 4, 91054 Erlangen - Telefon 09131 88 40 21 - Telefax 09131 88 40 29</w:t>
      </w:r>
    </w:p>
    <w:p>
      <w:r>
        <w:rPr>
          <w:rFonts w:ascii="Times New Roman" w:hAnsi="Times New Roman"/>
          <w:b w:val="0"/>
          <w:i w:val="0"/>
          <w:sz w:val="22"/>
        </w:rPr>
        <w:t>Unser Zeichen: 26-VOGT-0917 - Erlangen, den 28.05.2026</w:t>
      </w:r>
    </w:p>
    <w:p>
      <w:r>
        <w:rPr>
          <w:rFonts w:ascii="Times New Roman" w:hAnsi="Times New Roman"/>
          <w:b w:val="0"/>
          <w:i w:val="0"/>
          <w:sz w:val="22"/>
        </w:rPr>
        <w:t>An das Sozialgericht Erlangen, Ohmplatz 4, 91054 Erlangen</w:t>
      </w:r>
    </w:p>
    <w:p>
      <w:pPr>
        <w:pStyle w:val="Heading1"/>
      </w:pPr>
      <w:r>
        <w:t>Klage</w:t>
      </w:r>
    </w:p>
    <w:p>
      <w:r>
        <w:rPr>
          <w:rFonts w:ascii="Times New Roman" w:hAnsi="Times New Roman"/>
          <w:b w:val="0"/>
          <w:i w:val="0"/>
          <w:sz w:val="22"/>
        </w:rPr>
        <w:t>der Neuralis MedTech GmbH, vertreten durch den Geschaeftsfuehrer Dr. Henrik Vogt, Henkestrasse 91, 91054 Erlangen, und des Herrn Dr. Henrik Vogt, Schuhstrasse 12, 91052 Erlangen - Klaeger -</w:t>
      </w:r>
    </w:p>
    <w:p>
      <w:r>
        <w:rPr>
          <w:rFonts w:ascii="Times New Roman" w:hAnsi="Times New Roman"/>
          <w:b w:val="0"/>
          <w:i w:val="0"/>
          <w:sz w:val="22"/>
        </w:rPr>
        <w:t>Prozessbevollmaechtigte: Kanzlei Rehbogen und Kollegen, Rathausplatz 4, 91054 Erlangen</w:t>
      </w:r>
    </w:p>
    <w:p>
      <w:r>
        <w:rPr>
          <w:rFonts w:ascii="Times New Roman" w:hAnsi="Times New Roman"/>
          <w:b w:val="0"/>
          <w:i w:val="0"/>
          <w:sz w:val="22"/>
        </w:rPr>
        <w:t>gegen die Deutsche Rentenversicherung Bund, Ruhrstrasse 2, 10709 Berlin - Beklagte -</w:t>
      </w:r>
    </w:p>
    <w:p>
      <w:r>
        <w:rPr>
          <w:rFonts w:ascii="Times New Roman" w:hAnsi="Times New Roman"/>
          <w:b w:val="0"/>
          <w:i w:val="0"/>
          <w:sz w:val="22"/>
        </w:rPr>
        <w:t>wegen Feststellung des sozialversicherungsrechtlichen Status</w:t>
      </w:r>
    </w:p>
    <w:p>
      <w:pPr>
        <w:pStyle w:val="Heading2"/>
      </w:pPr>
      <w:r>
        <w:t>1 Antraege</w:t>
      </w:r>
    </w:p>
    <w:p>
      <w:r>
        <w:rPr>
          <w:rFonts w:ascii="Times New Roman" w:hAnsi="Times New Roman"/>
          <w:b w:val="0"/>
          <w:i w:val="0"/>
          <w:sz w:val="22"/>
        </w:rPr>
        <w:t>1.1 Der Bescheid der Beklagten vom 09.02.2026 in Gestalt des Widerspruchsbescheids vom 04.05.2026 wird aufgehoben.</w:t>
      </w:r>
    </w:p>
    <w:p>
      <w:r>
        <w:rPr>
          <w:rFonts w:ascii="Times New Roman" w:hAnsi="Times New Roman"/>
          <w:b w:val="0"/>
          <w:i w:val="0"/>
          <w:sz w:val="22"/>
        </w:rPr>
        <w:t>1.2 Es wird festgestellt, dass Herr Dr. Henrik Vogt in seiner Taetigkeit als Geschaeftsfuehrer der Neuralis MedTech GmbH seit dem 01.03.2023 nicht der Versicherungspflicht in der gesetzlichen Rentenversicherung und nach dem Recht der Arbeitsfoerderung unterliegt.</w:t>
      </w:r>
    </w:p>
    <w:p>
      <w:pPr>
        <w:pStyle w:val="Heading2"/>
      </w:pPr>
      <w:r>
        <w:t>2 Sachverhalt</w:t>
      </w:r>
    </w:p>
    <w:p>
      <w:r>
        <w:rPr>
          <w:rFonts w:ascii="Times New Roman" w:hAnsi="Times New Roman"/>
          <w:b w:val="0"/>
          <w:i w:val="0"/>
          <w:sz w:val="22"/>
        </w:rPr>
        <w:t>Der Klaeger zu 2 ist Mitgruender der Klaegerin zu 1 und hielt bei Gruendung im Jahr 2019 saemtliche Geschaeftsanteile. Nach dem Einstieg der FrankenHealth Ventures GmbH im Jahr 2021 haelt er noch 32 Prozent des Stammkapitals. Er ist alleinvertretungsberechtigter Geschaeftsfuehrer mit Befreiung von Paragraf 181 BGB. Mit Nachtrag vom 19.09.2025 wurde ihm eine Sperrminoritaet fuer sein Ressort Entwicklung und fuer laufende klinische Studien eingeraeumt.</w:t>
      </w:r>
    </w:p>
    <w:p>
      <w:pPr>
        <w:pStyle w:val="Heading2"/>
      </w:pPr>
      <w:r>
        <w:t>3 Rechtliche Wuerdigung</w:t>
      </w:r>
    </w:p>
    <w:p>
      <w:r>
        <w:rPr>
          <w:rFonts w:ascii="Times New Roman" w:hAnsi="Times New Roman"/>
          <w:b w:val="0"/>
          <w:i w:val="0"/>
          <w:sz w:val="22"/>
        </w:rPr>
        <w:t>3.1 Zwar verfuegt der Klaeger zu 2 formal nur ueber eine Minderheitsbeteiligung. Nach der Rechtsprechung des Bundessozialgerichts kommt es jedoch nicht allein auf die Kapitalmehrheit an, sondern darauf, ob der Geschaeftsfuehrer aufgrund gesellschaftsvertraglich eingeraeumter Vetorechte Weisungen der Gesellschafterversammlung verhindern kann, die seinen Aufgabenbereich betreffen (Bundessozialgericht, Urteil vom 12.05.2020, B 12 R 5/16 R).</w:t>
      </w:r>
    </w:p>
    <w:p>
      <w:r>
        <w:rPr>
          <w:rFonts w:ascii="Times New Roman" w:hAnsi="Times New Roman"/>
          <w:b w:val="0"/>
          <w:i w:val="0"/>
          <w:sz w:val="22"/>
        </w:rPr>
        <w:t>3.2 Die mit Nachtrag vom 19.09.2025 eingefuehrte Sperrminoritaet in Paragraf 6.5 des Gesellschaftsvertrags erstreckt sich zwar nur auf das Ressort Entwicklung. Dieses Ressort ist jedoch nach der internen Aufgabenverteilung der einzige operative Kernbereich des Klaegers zu 2 und wirtschaftlich der Kern der unternehmerischen Taetigkeit der Klaegerin zu 1.</w:t>
      </w:r>
    </w:p>
    <w:p>
      <w:r>
        <w:rPr>
          <w:rFonts w:ascii="Times New Roman" w:hAnsi="Times New Roman"/>
          <w:b w:val="0"/>
          <w:i w:val="0"/>
          <w:sz w:val="22"/>
        </w:rPr>
        <w:t>3.3 Der Klaeger zu 2 traegt mit der persoenlichen Buergschaft ueber 400000,00 EUR ein Unternehmerrisiko, das deutlich ueber das eines Fremdgeschaeftsfuehrers hinausgeht.</w:t>
      </w:r>
    </w:p>
    <w:p>
      <w:r>
        <w:rPr>
          <w:rFonts w:ascii="Times New Roman" w:hAnsi="Times New Roman"/>
          <w:b w:val="0"/>
          <w:i w:val="0"/>
          <w:sz w:val="22"/>
        </w:rPr>
        <w:t>3.4 Die im Anstellungsvertrag vorgesehene feste Verguetung und der Urlaubsanspruch sind bei Gesellschafter-Geschaeftsfuehrern kein zwingendes Indiz fuer Beschaeftigung, wenn die uebrigen Umstaende, insbesondere die tatsaechliche Steuerungsmacht im operativen Kernbereich, fuer Selbstaendigkeit sprechen.</w:t>
      </w:r>
    </w:p>
    <w:p>
      <w:pPr>
        <w:pStyle w:val="Heading2"/>
      </w:pPr>
      <w:r>
        <w:t>4 Beweisantritt</w:t>
      </w:r>
    </w:p>
    <w:p>
      <w:r>
        <w:rPr>
          <w:rFonts w:ascii="Times New Roman" w:hAnsi="Times New Roman"/>
          <w:b w:val="0"/>
          <w:i w:val="0"/>
          <w:sz w:val="22"/>
        </w:rPr>
        <w:t>Zeugenvernehmung des Beiratsvorsitzenden Prof. Dr. Cornelius Baumhauer und der Gesellschafterin Dr. Miriam Seidl zur tatsaechlichen Handhabung der Sperrminoritaet seit September 2025. Beiziehung der Beiratsprotokolle vom 14.02.2025, 20.11.2025 und 06.05.2026.</w:t>
      </w:r>
    </w:p>
    <w:p>
      <w:r>
        <w:rPr>
          <w:rFonts w:ascii="Times New Roman" w:hAnsi="Times New Roman"/>
          <w:b w:val="0"/>
          <w:i w:val="0"/>
          <w:sz w:val="22"/>
        </w:rPr>
        <w:t>Dr. Fabian Rehbogen, Rechtsanwalt und Rentenberater</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