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Antrag auf Akteneinsicht nach Paragraf 25 SGB X</w:t>
      </w:r>
    </w:p>
    <w:p>
      <w:r>
        <w:rPr>
          <w:rFonts w:ascii="Times New Roman" w:hAnsi="Times New Roman"/>
          <w:b/>
          <w:i w:val="0"/>
          <w:sz w:val="22"/>
        </w:rPr>
        <w:t>Kanzlei Lindenhof und Partner mbB</w:t>
      </w:r>
    </w:p>
    <w:p>
      <w:r>
        <w:rPr>
          <w:rFonts w:ascii="Times New Roman" w:hAnsi="Times New Roman"/>
          <w:b w:val="0"/>
          <w:i w:val="0"/>
          <w:sz w:val="22"/>
        </w:rPr>
        <w:t>Domfreihof 6, 54290 Trier</w:t>
      </w:r>
    </w:p>
    <w:p/>
    <w:p>
      <w:pPr>
        <w:pStyle w:val="Heading2"/>
      </w:pPr>
      <w:r>
        <w:t>1. Antrag</w:t>
      </w:r>
    </w:p>
    <w:p>
      <w:r>
        <w:rPr>
          <w:rFonts w:ascii="Times New Roman" w:hAnsi="Times New Roman"/>
          <w:b w:val="0"/>
          <w:i w:val="0"/>
          <w:sz w:val="22"/>
        </w:rPr>
        <w:t>Namens und im Auftrag des Herrn Karsten Moeller wird Akteneinsicht in die vollstaendige Verwaltungsakte zum Vorgang BGHW-2026-350118-MOELLER beantragt, einschliesslich aller internen Vermerke, des Wartungsbuchs Rampe 4, des Kameraausfallprotokolls und der Betriebspruefungsunterlagen, soweit diese beigezogen wurden.</w:t>
      </w:r>
    </w:p>
    <w:p>
      <w:pPr>
        <w:pStyle w:val="Heading2"/>
      </w:pPr>
      <w:r>
        <w:t>2. Rechtsgrundlage</w:t>
      </w:r>
    </w:p>
    <w:p>
      <w:r>
        <w:rPr>
          <w:rFonts w:ascii="Times New Roman" w:hAnsi="Times New Roman"/>
          <w:b w:val="0"/>
          <w:i w:val="0"/>
          <w:sz w:val="22"/>
        </w:rPr>
        <w:t>Der Antrag stuetzt sich auf Paragraf 25 SGB X. Als Beteiligter im Sinne von Paragraf 12 SGB X hat der Mandant ein Recht auf Einsicht in die ihn betreffenden Akten, soweit deren Kenntnis zur Geltendmachung seiner rechtlichen Interessen erforderlich ist.</w:t>
      </w:r>
    </w:p>
    <w:p>
      <w:pPr>
        <w:pStyle w:val="Heading2"/>
      </w:pPr>
      <w:r>
        <w:t>3. Antwort der Berufsgenossenschaft</w:t>
      </w:r>
    </w:p>
    <w:p>
      <w:r>
        <w:rPr>
          <w:rFonts w:ascii="Times New Roman" w:hAnsi="Times New Roman"/>
          <w:b w:val="0"/>
          <w:i w:val="0"/>
          <w:sz w:val="22"/>
        </w:rPr>
        <w:t>Mit Schreiben vom 06.05.2026 gewaehrte die Berufsgenossenschaft Akteneinsicht in Form einer elektronischen Aktenkopie. Das uebersandte Wartungsbuch enthielt lediglich die Eintraege ab Januar 2026; ein handschriftlicher Vermerk der Betriebsleiterin vom 05.04.2026 zur Schwergaengigkeit der Rampe war nicht Bestandteil der uebersandten Unterlagen.</w:t>
      </w:r>
    </w:p>
    <w:p>
      <w:pPr>
        <w:pStyle w:val="Heading2"/>
      </w:pPr>
      <w:r>
        <w:t>4. Nachforderung</w:t>
      </w:r>
    </w:p>
    <w:p>
      <w:r>
        <w:rPr>
          <w:rFonts w:ascii="Times New Roman" w:hAnsi="Times New Roman"/>
          <w:b w:val="0"/>
          <w:i w:val="0"/>
          <w:sz w:val="22"/>
        </w:rPr>
        <w:t>Mit weiterem Schreiben vom 12.05.2026 wurde die vollstaendige interne Korrespondenz der MoselLogistik GmbH mit der Berufsgenossenschaft angefordert, insbesondere die E-Mail der Betriebsleiterin Jana Probst vom 05.04.2026.</w:t>
      </w:r>
    </w:p>
    <w:p>
      <w:r>
        <w:rPr>
          <w:rFonts w:ascii="Times New Roman" w:hAnsi="Times New Roman"/>
          <w:b w:val="0"/>
          <w:i w:val="0"/>
          <w:sz w:val="22"/>
        </w:rPr>
        <w:t>Formathinweis: Dieses Aktenstück wird in Times New Roman, 11 pt, mit ausschließlich dezimaler Gliederung ausgegeben.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i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