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Klageschrift zum Sozialgericht Trier</w:t>
      </w:r>
    </w:p>
    <w:p>
      <w:r>
        <w:rPr>
          <w:rFonts w:ascii="Times New Roman" w:hAnsi="Times New Roman"/>
          <w:b/>
          <w:i w:val="0"/>
          <w:sz w:val="22"/>
        </w:rPr>
        <w:t>Kanzlei Lindenhof und Partner mbB</w:t>
      </w:r>
    </w:p>
    <w:p>
      <w:r>
        <w:rPr>
          <w:rFonts w:ascii="Times New Roman" w:hAnsi="Times New Roman"/>
          <w:b w:val="0"/>
          <w:i w:val="0"/>
          <w:sz w:val="22"/>
        </w:rPr>
        <w:t>Fachanwaelte fuer Sozialrecht</w:t>
      </w:r>
    </w:p>
    <w:p>
      <w:r>
        <w:rPr>
          <w:rFonts w:ascii="Times New Roman" w:hAnsi="Times New Roman"/>
          <w:b w:val="0"/>
          <w:i w:val="0"/>
          <w:sz w:val="22"/>
        </w:rPr>
        <w:t>Domfreihof 6, 54290 Trier</w:t>
      </w:r>
    </w:p>
    <w:p>
      <w:r>
        <w:rPr>
          <w:rFonts w:ascii="Times New Roman" w:hAnsi="Times New Roman"/>
          <w:b w:val="0"/>
          <w:i w:val="0"/>
          <w:sz w:val="22"/>
        </w:rPr>
        <w:t>Bearbeiterin: Dr. Nadine Ohlerich</w:t>
      </w:r>
    </w:p>
    <w:p/>
    <w:p>
      <w:r>
        <w:rPr>
          <w:rFonts w:ascii="Times New Roman" w:hAnsi="Times New Roman"/>
          <w:b w:val="0"/>
          <w:i w:val="0"/>
          <w:sz w:val="22"/>
        </w:rPr>
        <w:t>An das Sozialgericht Trier, Kutzbachstrasse 3a, 54290 Trier, per beA am 20.10.2026 eingereicht.</w:t>
      </w:r>
    </w:p>
    <w:p>
      <w:pPr>
        <w:pStyle w:val="Heading2"/>
      </w:pPr>
      <w:r>
        <w:t>1. Parteien</w:t>
      </w:r>
    </w:p>
    <w:p>
      <w:r>
        <w:rPr>
          <w:rFonts w:ascii="Times New Roman" w:hAnsi="Times New Roman"/>
          <w:b w:val="0"/>
          <w:i w:val="0"/>
          <w:sz w:val="22"/>
        </w:rPr>
        <w:t>Klaeger: Karsten Moeller, Hafenstrasse nahe Trier-Ehrang wohnhaft, vertreten durch die Kanzlei Lindenhof und Partner mbB. Beklagte: Berufsgenossenschaft Handel und Warenlogistik, Bezirksverwaltung Trier.</w:t>
      </w:r>
    </w:p>
    <w:p>
      <w:pPr>
        <w:pStyle w:val="Heading2"/>
      </w:pPr>
      <w:r>
        <w:t>2. Klageantrag</w:t>
      </w:r>
    </w:p>
    <w:p>
      <w:r>
        <w:rPr>
          <w:rFonts w:ascii="Times New Roman" w:hAnsi="Times New Roman"/>
          <w:b w:val="0"/>
          <w:i w:val="0"/>
          <w:sz w:val="22"/>
        </w:rPr>
        <w:t>Es wird beantragt, den Bescheid vom 18.06.2026 in der Gestalt des Widerspruchsbescheids vom 25.09.2026 aufzuheben und festzustellen, dass das Ereignis vom 03.04.2026 ein Arbeitsunfall im Sinne von Paragraf 8 SGB VII ist, sowie die Beklagte zu verurteilen, die gesetzlichen Leistungen der Unfallversicherung zu gewaehren.</w:t>
      </w:r>
    </w:p>
    <w:p>
      <w:pPr>
        <w:pStyle w:val="Heading2"/>
      </w:pPr>
      <w:r>
        <w:t>3. Klagebegruendung</w:t>
      </w:r>
    </w:p>
    <w:p>
      <w:r>
        <w:rPr>
          <w:rFonts w:ascii="Times New Roman" w:hAnsi="Times New Roman"/>
          <w:b w:val="0"/>
          <w:i w:val="0"/>
          <w:sz w:val="22"/>
        </w:rPr>
        <w:t>Zur Begruendung wird auf den ausfuehrlichen Widerspruch vom 20.07.2026 und die dort dargestellte Beweislage verwiesen. Ergaenzend wird darauf hingewiesen, dass die Beklagte den Beweiswert der uebereinstimmenden Zeugenangaben unzureichend gewuerdigt und dem Kameraausfall zu Unrecht eine dem Klaeger nachteilige Bedeutung beigemessen hat.</w:t>
      </w:r>
    </w:p>
    <w:p>
      <w:pPr>
        <w:pStyle w:val="Heading2"/>
      </w:pPr>
      <w:r>
        <w:t>4. Beweisantritt</w:t>
      </w:r>
    </w:p>
    <w:p>
      <w:r>
        <w:rPr>
          <w:rFonts w:ascii="Times New Roman" w:hAnsi="Times New Roman"/>
          <w:b w:val="0"/>
          <w:i w:val="0"/>
          <w:sz w:val="22"/>
        </w:rPr>
        <w:t>Es wird die Einholung eines unfallchirurgischen Zusammenhangsgutachtens beantragt, ferner die zeugenschaftliche Vernehmung von Bastian Kopp, Sandra Lehnert und Herbert Nauheim sowie die Beiziehung des vollstaendigen Wartungsbuchs Rampe 4.</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