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17365D"/>
          <w:sz w:val="17"/>
        </w:rPr>
        <w:t>BANKAUSKUNFT</w:t>
      </w:r>
    </w:p>
    <w:p>
      <w:pPr>
        <w:spacing w:after="40"/>
      </w:pPr>
      <w:r>
        <w:rPr>
          <w:rFonts w:ascii="Arial" w:hAnsi="Arial"/>
          <w:b/>
          <w:sz w:val="25"/>
        </w:rPr>
        <w:t>Badische Nachlassbank eG</w:t>
      </w:r>
    </w:p>
    <w:p>
      <w:pPr>
        <w:spacing w:after="200"/>
      </w:pPr>
      <w:r>
        <w:rPr>
          <w:rFonts w:ascii="Arial" w:hAnsi="Arial"/>
          <w:color w:val="586069"/>
          <w:sz w:val="17"/>
        </w:rPr>
        <w:t>Nachlassservice | Kaiserstraße 132 | 76133 Karlsruhe</w:t>
      </w:r>
    </w:p>
    <w:p>
      <w:pPr>
        <w:spacing w:after="160"/>
      </w:pPr>
      <w:r>
        <w:t>Amtsgericht Karlsruhe - Nachlassgericht</w:t>
      </w:r>
    </w:p>
    <w:p>
      <w:pPr>
        <w:spacing w:after="80"/>
      </w:pPr>
      <w:r>
        <w:rPr>
          <w:rFonts w:ascii="Arial" w:hAnsi="Arial"/>
          <w:color w:val="586069"/>
          <w:sz w:val="18"/>
        </w:rPr>
        <w:t>Datum: 11.07.2026  |  Zeichen: Nachlass Armin Seidel</w:t>
      </w:r>
    </w:p>
    <w:p>
      <w:pPr>
        <w:pStyle w:val="Title"/>
      </w:pPr>
      <w:r>
        <w:t>Vermögens- und Verfügungsübersicht zum Todestag</w:t>
      </w:r>
    </w:p>
    <w:p>
      <w:pPr>
        <w:jc w:val="both"/>
      </w:pPr>
      <w:r>
        <w:t>Auf gerichtliche Anfrage bestätigen wir die bei der Bank geführten Konten, Depots und Schließfachbeziehungen des verstorbenen Armin Seidel zum 14. Mai 2026. Verfügungsberechtigungen werden ohne Bewertung ihrer erbrechtlichen Wirkung angegeben.</w:t>
      </w:r>
    </w:p>
    <w:p>
      <w:pPr>
        <w:pStyle w:val="Heading1"/>
      </w:pPr>
      <w:r>
        <w:t>1. Konten und Depot</w:t>
      </w:r>
    </w:p>
    <w:tbl>
      <w:tblPr>
        <w:tblStyle w:val="TableGrid"/>
        <w:tblW w:type="dxa" w:w="9600"/>
        <w:tblLayout w:type="fixed"/>
        <w:tblLook w:firstColumn="1" w:firstRow="1" w:lastColumn="0" w:lastRow="0" w:noHBand="0" w:noVBand="1" w:val="04A0"/>
        <w:tblInd w:w="120" w:type="dxa"/>
      </w:tblPr>
      <w:tblGrid>
        <w:gridCol w:w="2200"/>
        <w:gridCol w:w="2400"/>
        <w:gridCol w:w="2500"/>
        <w:gridCol w:w="2500"/>
      </w:tblGrid>
      <w:tr>
        <w:trPr>
          <w:tblHeader w:val="true"/>
        </w:trPr>
        <w:tc>
          <w:tcPr>
            <w:tcW w:type="dxa" w:w="2200"/>
            <w:vAlign w:val="center"/>
            <w:shd w:fill="DCE6F1"/>
            <w:tcMar>
              <w:top w:w="90" w:type="dxa"/>
              <w:start w:w="120" w:type="dxa"/>
              <w:bottom w:w="90" w:type="dxa"/>
              <w:end w:w="120" w:type="dxa"/>
            </w:tcMar>
          </w:tcPr>
          <w:p>
            <w:pPr>
              <w:spacing w:after="0"/>
            </w:pPr>
            <w:r>
              <w:rPr>
                <w:rFonts w:ascii="Arial" w:hAnsi="Arial"/>
                <w:b/>
                <w:sz w:val="18"/>
              </w:rPr>
              <w:t>Produkt</w:t>
            </w:r>
          </w:p>
        </w:tc>
        <w:tc>
          <w:tcPr>
            <w:tcW w:type="dxa" w:w="2400"/>
            <w:vAlign w:val="center"/>
            <w:shd w:fill="DCE6F1"/>
            <w:tcMar>
              <w:top w:w="90" w:type="dxa"/>
              <w:start w:w="120" w:type="dxa"/>
              <w:bottom w:w="90" w:type="dxa"/>
              <w:end w:w="120" w:type="dxa"/>
            </w:tcMar>
          </w:tcPr>
          <w:p>
            <w:pPr>
              <w:spacing w:after="0"/>
            </w:pPr>
            <w:r>
              <w:rPr>
                <w:rFonts w:ascii="Arial" w:hAnsi="Arial"/>
                <w:b/>
                <w:sz w:val="18"/>
              </w:rPr>
              <w:t>Nummer</w:t>
            </w:r>
          </w:p>
        </w:tc>
        <w:tc>
          <w:tcPr>
            <w:tcW w:type="dxa" w:w="2500"/>
            <w:vAlign w:val="center"/>
            <w:shd w:fill="DCE6F1"/>
            <w:tcMar>
              <w:top w:w="90" w:type="dxa"/>
              <w:start w:w="120" w:type="dxa"/>
              <w:bottom w:w="90" w:type="dxa"/>
              <w:end w:w="120" w:type="dxa"/>
            </w:tcMar>
          </w:tcPr>
          <w:p>
            <w:pPr>
              <w:spacing w:after="0"/>
            </w:pPr>
            <w:r>
              <w:rPr>
                <w:rFonts w:ascii="Arial" w:hAnsi="Arial"/>
                <w:b/>
                <w:sz w:val="18"/>
              </w:rPr>
              <w:t>Saldo / Kurswert</w:t>
            </w:r>
          </w:p>
        </w:tc>
        <w:tc>
          <w:tcPr>
            <w:tcW w:type="dxa" w:w="2500"/>
            <w:vAlign w:val="center"/>
            <w:shd w:fill="DCE6F1"/>
            <w:tcMar>
              <w:top w:w="90" w:type="dxa"/>
              <w:start w:w="120" w:type="dxa"/>
              <w:bottom w:w="90" w:type="dxa"/>
              <w:end w:w="120" w:type="dxa"/>
            </w:tcMar>
          </w:tcPr>
          <w:p>
            <w:pPr>
              <w:spacing w:after="0"/>
            </w:pPr>
            <w:r>
              <w:rPr>
                <w:rFonts w:ascii="Arial" w:hAnsi="Arial"/>
                <w:b/>
                <w:sz w:val="18"/>
              </w:rPr>
              <w:t>Verfügung</w:t>
            </w:r>
          </w:p>
        </w:tc>
      </w:tr>
      <w:tr>
        <w:tc>
          <w:tcPr>
            <w:tcW w:type="dxa" w:w="2200"/>
            <w:vAlign w:val="center"/>
            <w:tcMar>
              <w:top w:w="90" w:type="dxa"/>
              <w:start w:w="120" w:type="dxa"/>
              <w:bottom w:w="90" w:type="dxa"/>
              <w:end w:w="120" w:type="dxa"/>
            </w:tcMar>
          </w:tcPr>
          <w:p>
            <w:pPr>
              <w:spacing w:after="0" w:line="259" w:lineRule="auto"/>
            </w:pPr>
            <w:r>
              <w:rPr>
                <w:rFonts w:ascii="Arial" w:hAnsi="Arial"/>
                <w:sz w:val="17"/>
              </w:rPr>
              <w:t>Girokonto</w:t>
            </w:r>
          </w:p>
        </w:tc>
        <w:tc>
          <w:tcPr>
            <w:tcW w:type="dxa" w:w="2400"/>
            <w:vAlign w:val="center"/>
            <w:tcMar>
              <w:top w:w="90" w:type="dxa"/>
              <w:start w:w="120" w:type="dxa"/>
              <w:bottom w:w="90" w:type="dxa"/>
              <w:end w:w="120" w:type="dxa"/>
            </w:tcMar>
          </w:tcPr>
          <w:p>
            <w:pPr>
              <w:spacing w:after="0" w:line="259" w:lineRule="auto"/>
            </w:pPr>
            <w:r>
              <w:rPr>
                <w:rFonts w:ascii="Arial" w:hAnsi="Arial"/>
                <w:sz w:val="17"/>
              </w:rPr>
              <w:t>DE61 6609 ... 1482</w:t>
            </w:r>
          </w:p>
        </w:tc>
        <w:tc>
          <w:tcPr>
            <w:tcW w:type="dxa" w:w="2500"/>
            <w:vAlign w:val="center"/>
            <w:tcMar>
              <w:top w:w="90" w:type="dxa"/>
              <w:start w:w="120" w:type="dxa"/>
              <w:bottom w:w="90" w:type="dxa"/>
              <w:end w:w="120" w:type="dxa"/>
            </w:tcMar>
          </w:tcPr>
          <w:p>
            <w:pPr>
              <w:spacing w:after="0" w:line="259" w:lineRule="auto"/>
            </w:pPr>
            <w:r>
              <w:rPr>
                <w:rFonts w:ascii="Arial" w:hAnsi="Arial"/>
                <w:sz w:val="17"/>
              </w:rPr>
              <w:t>38.744,12 EUR</w:t>
            </w:r>
          </w:p>
        </w:tc>
        <w:tc>
          <w:tcPr>
            <w:tcW w:type="dxa" w:w="2500"/>
            <w:vAlign w:val="center"/>
            <w:tcMar>
              <w:top w:w="90" w:type="dxa"/>
              <w:start w:w="120" w:type="dxa"/>
              <w:bottom w:w="90" w:type="dxa"/>
              <w:end w:w="120" w:type="dxa"/>
            </w:tcMar>
          </w:tcPr>
          <w:p>
            <w:pPr>
              <w:spacing w:after="0" w:line="259" w:lineRule="auto"/>
            </w:pPr>
            <w:r>
              <w:rPr>
                <w:rFonts w:ascii="Arial" w:hAnsi="Arial"/>
                <w:sz w:val="17"/>
              </w:rPr>
              <w:t>Einzelkonto</w:t>
            </w:r>
          </w:p>
        </w:tc>
      </w:tr>
      <w:tr>
        <w:tc>
          <w:tcPr>
            <w:tcW w:type="dxa" w:w="2200"/>
            <w:vAlign w:val="center"/>
            <w:shd w:fill="F2F4F7"/>
            <w:tcMar>
              <w:top w:w="90" w:type="dxa"/>
              <w:start w:w="120" w:type="dxa"/>
              <w:bottom w:w="90" w:type="dxa"/>
              <w:end w:w="120" w:type="dxa"/>
            </w:tcMar>
          </w:tcPr>
          <w:p>
            <w:pPr>
              <w:spacing w:after="0" w:line="259" w:lineRule="auto"/>
            </w:pPr>
            <w:r>
              <w:rPr>
                <w:rFonts w:ascii="Arial" w:hAnsi="Arial"/>
                <w:sz w:val="17"/>
              </w:rPr>
              <w:t>Tagesgeld</w:t>
            </w:r>
          </w:p>
        </w:tc>
        <w:tc>
          <w:tcPr>
            <w:tcW w:type="dxa" w:w="2400"/>
            <w:vAlign w:val="center"/>
            <w:shd w:fill="F2F4F7"/>
            <w:tcMar>
              <w:top w:w="90" w:type="dxa"/>
              <w:start w:w="120" w:type="dxa"/>
              <w:bottom w:w="90" w:type="dxa"/>
              <w:end w:w="120" w:type="dxa"/>
            </w:tcMar>
          </w:tcPr>
          <w:p>
            <w:pPr>
              <w:spacing w:after="0" w:line="259" w:lineRule="auto"/>
            </w:pPr>
            <w:r>
              <w:rPr>
                <w:rFonts w:ascii="Arial" w:hAnsi="Arial"/>
                <w:sz w:val="17"/>
              </w:rPr>
              <w:t>DE18 6609 ... 9920</w:t>
            </w:r>
          </w:p>
        </w:tc>
        <w:tc>
          <w:tcPr>
            <w:tcW w:type="dxa" w:w="2500"/>
            <w:vAlign w:val="center"/>
            <w:shd w:fill="F2F4F7"/>
            <w:tcMar>
              <w:top w:w="90" w:type="dxa"/>
              <w:start w:w="120" w:type="dxa"/>
              <w:bottom w:w="90" w:type="dxa"/>
              <w:end w:w="120" w:type="dxa"/>
            </w:tcMar>
          </w:tcPr>
          <w:p>
            <w:pPr>
              <w:spacing w:after="0" w:line="259" w:lineRule="auto"/>
            </w:pPr>
            <w:r>
              <w:rPr>
                <w:rFonts w:ascii="Arial" w:hAnsi="Arial"/>
                <w:sz w:val="17"/>
              </w:rPr>
              <w:t>112.080,40 EUR</w:t>
            </w:r>
          </w:p>
        </w:tc>
        <w:tc>
          <w:tcPr>
            <w:tcW w:type="dxa" w:w="2500"/>
            <w:vAlign w:val="center"/>
            <w:shd w:fill="F2F4F7"/>
            <w:tcMar>
              <w:top w:w="90" w:type="dxa"/>
              <w:start w:w="120" w:type="dxa"/>
              <w:bottom w:w="90" w:type="dxa"/>
              <w:end w:w="120" w:type="dxa"/>
            </w:tcMar>
          </w:tcPr>
          <w:p>
            <w:pPr>
              <w:spacing w:after="0" w:line="259" w:lineRule="auto"/>
            </w:pPr>
            <w:r>
              <w:rPr>
                <w:rFonts w:ascii="Arial" w:hAnsi="Arial"/>
                <w:sz w:val="17"/>
              </w:rPr>
              <w:t>Einzelkonto</w:t>
            </w:r>
          </w:p>
        </w:tc>
      </w:tr>
      <w:tr>
        <w:tc>
          <w:tcPr>
            <w:tcW w:type="dxa" w:w="2200"/>
            <w:vAlign w:val="center"/>
            <w:tcMar>
              <w:top w:w="90" w:type="dxa"/>
              <w:start w:w="120" w:type="dxa"/>
              <w:bottom w:w="90" w:type="dxa"/>
              <w:end w:w="120" w:type="dxa"/>
            </w:tcMar>
          </w:tcPr>
          <w:p>
            <w:pPr>
              <w:spacing w:after="0" w:line="259" w:lineRule="auto"/>
            </w:pPr>
            <w:r>
              <w:rPr>
                <w:rFonts w:ascii="Arial" w:hAnsi="Arial"/>
                <w:sz w:val="17"/>
              </w:rPr>
              <w:t>Depot</w:t>
            </w:r>
          </w:p>
        </w:tc>
        <w:tc>
          <w:tcPr>
            <w:tcW w:type="dxa" w:w="2400"/>
            <w:vAlign w:val="center"/>
            <w:tcMar>
              <w:top w:w="90" w:type="dxa"/>
              <w:start w:w="120" w:type="dxa"/>
              <w:bottom w:w="90" w:type="dxa"/>
              <w:end w:w="120" w:type="dxa"/>
            </w:tcMar>
          </w:tcPr>
          <w:p>
            <w:pPr>
              <w:spacing w:after="0" w:line="259" w:lineRule="auto"/>
            </w:pPr>
            <w:r>
              <w:rPr>
                <w:rFonts w:ascii="Arial" w:hAnsi="Arial"/>
                <w:sz w:val="17"/>
              </w:rPr>
              <w:t>D-771048</w:t>
            </w:r>
          </w:p>
        </w:tc>
        <w:tc>
          <w:tcPr>
            <w:tcW w:type="dxa" w:w="2500"/>
            <w:vAlign w:val="center"/>
            <w:tcMar>
              <w:top w:w="90" w:type="dxa"/>
              <w:start w:w="120" w:type="dxa"/>
              <w:bottom w:w="90" w:type="dxa"/>
              <w:end w:w="120" w:type="dxa"/>
            </w:tcMar>
          </w:tcPr>
          <w:p>
            <w:pPr>
              <w:spacing w:after="0" w:line="259" w:lineRule="auto"/>
            </w:pPr>
            <w:r>
              <w:rPr>
                <w:rFonts w:ascii="Arial" w:hAnsi="Arial"/>
                <w:sz w:val="17"/>
              </w:rPr>
              <w:t>286.410,70 EUR</w:t>
            </w:r>
          </w:p>
        </w:tc>
        <w:tc>
          <w:tcPr>
            <w:tcW w:type="dxa" w:w="2500"/>
            <w:vAlign w:val="center"/>
            <w:tcMar>
              <w:top w:w="90" w:type="dxa"/>
              <w:start w:w="120" w:type="dxa"/>
              <w:bottom w:w="90" w:type="dxa"/>
              <w:end w:w="120" w:type="dxa"/>
            </w:tcMar>
          </w:tcPr>
          <w:p>
            <w:pPr>
              <w:spacing w:after="0" w:line="259" w:lineRule="auto"/>
            </w:pPr>
            <w:r>
              <w:rPr>
                <w:rFonts w:ascii="Arial" w:hAnsi="Arial"/>
                <w:sz w:val="17"/>
              </w:rPr>
              <w:t>Einzeldepot</w:t>
            </w:r>
          </w:p>
        </w:tc>
      </w:tr>
      <w:tr>
        <w:tc>
          <w:tcPr>
            <w:tcW w:type="dxa" w:w="2200"/>
            <w:vAlign w:val="center"/>
            <w:shd w:fill="F2F4F7"/>
            <w:tcMar>
              <w:top w:w="90" w:type="dxa"/>
              <w:start w:w="120" w:type="dxa"/>
              <w:bottom w:w="90" w:type="dxa"/>
              <w:end w:w="120" w:type="dxa"/>
            </w:tcMar>
          </w:tcPr>
          <w:p>
            <w:pPr>
              <w:spacing w:after="0" w:line="259" w:lineRule="auto"/>
            </w:pPr>
            <w:r>
              <w:rPr>
                <w:rFonts w:ascii="Arial" w:hAnsi="Arial"/>
                <w:sz w:val="17"/>
              </w:rPr>
              <w:t>Gemeinschaftskonto Fiona/Armin</w:t>
            </w:r>
          </w:p>
        </w:tc>
        <w:tc>
          <w:tcPr>
            <w:tcW w:type="dxa" w:w="2400"/>
            <w:vAlign w:val="center"/>
            <w:shd w:fill="F2F4F7"/>
            <w:tcMar>
              <w:top w:w="90" w:type="dxa"/>
              <w:start w:w="120" w:type="dxa"/>
              <w:bottom w:w="90" w:type="dxa"/>
              <w:end w:w="120" w:type="dxa"/>
            </w:tcMar>
          </w:tcPr>
          <w:p>
            <w:pPr>
              <w:spacing w:after="0" w:line="259" w:lineRule="auto"/>
            </w:pPr>
            <w:r>
              <w:rPr>
                <w:rFonts w:ascii="Arial" w:hAnsi="Arial"/>
                <w:sz w:val="17"/>
              </w:rPr>
              <w:t>DE77 6609 ... 3315</w:t>
            </w:r>
          </w:p>
        </w:tc>
        <w:tc>
          <w:tcPr>
            <w:tcW w:type="dxa" w:w="2500"/>
            <w:vAlign w:val="center"/>
            <w:shd w:fill="F2F4F7"/>
            <w:tcMar>
              <w:top w:w="90" w:type="dxa"/>
              <w:start w:w="120" w:type="dxa"/>
              <w:bottom w:w="90" w:type="dxa"/>
              <w:end w:w="120" w:type="dxa"/>
            </w:tcMar>
          </w:tcPr>
          <w:p>
            <w:pPr>
              <w:spacing w:after="0" w:line="259" w:lineRule="auto"/>
            </w:pPr>
            <w:r>
              <w:rPr>
                <w:rFonts w:ascii="Arial" w:hAnsi="Arial"/>
                <w:sz w:val="17"/>
              </w:rPr>
              <w:t>21.960,18 EUR</w:t>
            </w:r>
          </w:p>
        </w:tc>
        <w:tc>
          <w:tcPr>
            <w:tcW w:type="dxa" w:w="2500"/>
            <w:vAlign w:val="center"/>
            <w:shd w:fill="F2F4F7"/>
            <w:tcMar>
              <w:top w:w="90" w:type="dxa"/>
              <w:start w:w="120" w:type="dxa"/>
              <w:bottom w:w="90" w:type="dxa"/>
              <w:end w:w="120" w:type="dxa"/>
            </w:tcMar>
          </w:tcPr>
          <w:p>
            <w:pPr>
              <w:spacing w:after="0" w:line="259" w:lineRule="auto"/>
            </w:pPr>
            <w:r>
              <w:rPr>
                <w:rFonts w:ascii="Arial" w:hAnsi="Arial"/>
                <w:sz w:val="17"/>
              </w:rPr>
              <w:t>Oder-Konto</w:t>
            </w:r>
          </w:p>
        </w:tc>
      </w:tr>
    </w:tbl>
    <w:p>
      <w:pPr>
        <w:spacing w:after="0"/>
      </w:pPr>
    </w:p>
    <w:p>
      <w:pPr>
        <w:pStyle w:val="Heading1"/>
      </w:pPr>
      <w:r>
        <w:t>2. Vollmachten</w:t>
      </w:r>
    </w:p>
    <w:p>
      <w:pPr>
        <w:jc w:val="both"/>
      </w:pPr>
      <w:r>
        <w:t>Fiona Seidel besaß seit 4. September 2021 eine transmortale Kontovollmacht für Giro- und Tagesgeldkonto. Am 16. Mai 2026 wurden 8.400 Euro vom Gemeinschaftskonto für Bestattung und laufende Hauskosten gezahlt. Vom Einzelkonto erfolgten nach dem Tod keine Verfügungen.</w:t>
      </w:r>
    </w:p>
    <w:p>
      <w:pPr>
        <w:pStyle w:val="Heading1"/>
      </w:pPr>
      <w:r>
        <w:t>3. Schließfach</w:t>
      </w:r>
    </w:p>
    <w:p>
      <w:pPr>
        <w:jc w:val="both"/>
      </w:pPr>
      <w:r>
        <w:t>Schließfach 312 wurde am 20. Mai 2026 in Anwesenheit Fionas und eines Bankmitarbeiters geöffnet. Protokolliert wurden eine Schmuckschatulle, drei verschlossene Umschläge mit der Aufschrift „Testament“, „Clemens“ und „Fiona“ sowie Fahrzeugpapiere. Die Gegenstände wurden wieder versiegelt; Herausgabe erfolgt gegen Legitimation.</w:t>
      </w:r>
    </w:p>
    <w:p>
      <w:pPr>
        <w:pStyle w:val="Heading1"/>
      </w:pPr>
      <w:r>
        <w:t>4. Immobilie</w:t>
      </w:r>
    </w:p>
    <w:p>
      <w:pPr>
        <w:jc w:val="both"/>
      </w:pPr>
      <w:r>
        <w:t>Aus den Kreditunterlagen ergibt sich Miteigentum Armins zu einem Halb am Grundstück Karlsruhe Blatt 17842. Das Darlehen valutierte zum Todestag mit 96.884,30 Euro. Die Bank trifft keine Aussage dazu, wem der andere Miteigentumsanteil oder interne Ausgleichsansprüche zustehen.</w:t>
      </w:r>
    </w:p>
    <w:p>
      <w:pPr>
        <w:jc w:val="both"/>
      </w:pPr>
      <w:r>
        <w:t>Badische Nachlassbank eG Lena Hartmann, Nachlassservice</w:t>
      </w:r>
    </w:p>
    <w:sectPr w:rsidR="00FC693F" w:rsidRPr="0006063C" w:rsidSect="00034616">
      <w:headerReference w:type="default" r:id="rId9"/>
      <w:footerReference w:type="default" r:id="rId10"/>
      <w:pgSz w:w="11906" w:h="16838"/>
      <w:pgMar w:top="1020" w:right="1134" w:bottom="1020" w:left="141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Arial" w:hAnsi="Arial"/>
        <w:color w:val="586069"/>
        <w:sz w:val="16"/>
      </w:rPr>
      <w:t xml:space="preserve">Seite </w:t>
    </w:r>
    <w:r>
      <w:rPr>
        <w:rFonts w:ascii="Arial" w:hAnsi="Arial"/>
        <w:color w:val="586069"/>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rial" w:hAnsi="Arial"/>
        <w:color w:val="586069"/>
        <w:sz w:val="16"/>
      </w:rPr>
      <w:t>Badische Nachlassbank eG  |  Nachlass Armin Seidel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76"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17365D"/>
      <w:sz w:val="25"/>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17365D"/>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7365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before="160"/>
      <w:contextualSpacing/>
    </w:pPr>
    <w:rPr>
      <w:rFonts w:asciiTheme="majorHAnsi" w:eastAsiaTheme="majorEastAsia" w:hAnsiTheme="majorHAnsi" w:cstheme="majorBidi" w:ascii="Arial" w:hAnsi="Arial"/>
      <w:b/>
      <w:color w:val="17365D"/>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Vermögens- und Verfügungsübersicht zum Todestag</dc:title>
  <dc:subject>Nachlass Armin Seidel</dc:subject>
  <dc:creator>Klotzkette</dc:creator>
  <cp:keywords/>
  <dc:description>generated by python-docx</dc:description>
  <cp:lastModifiedBy/>
  <cp:revision>1</cp:revision>
  <dcterms:created xsi:type="dcterms:W3CDTF">2013-12-23T23:15:00Z</dcterms:created>
  <dcterms:modified xsi:type="dcterms:W3CDTF">2013-12-23T23:15:00Z</dcterms:modified>
  <cp:category/>
</cp:coreProperties>
</file>