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17365D"/>
          <w:sz w:val="17"/>
        </w:rPr>
        <w:t>ARBEITSCHRONOLOGIE</w:t>
      </w:r>
    </w:p>
    <w:p>
      <w:pPr>
        <w:spacing w:after="40"/>
      </w:pPr>
      <w:r>
        <w:rPr>
          <w:rFonts w:ascii="Arial" w:hAnsi="Arial"/>
          <w:b/>
          <w:sz w:val="25"/>
        </w:rPr>
        <w:t>Petersen &amp; Hagedorn Rechtsanwälte</w:t>
      </w:r>
    </w:p>
    <w:p>
      <w:pPr>
        <w:spacing w:after="200"/>
      </w:pPr>
      <w:r>
        <w:rPr>
          <w:rFonts w:ascii="Arial" w:hAnsi="Arial"/>
          <w:color w:val="586069"/>
          <w:sz w:val="17"/>
        </w:rPr>
        <w:t>Fachbereich Erbrecht | Friedrichstraße 21 | 25980 Sylt | Telefon 04651 882140</w:t>
      </w:r>
    </w:p>
    <w:p>
      <w:pPr>
        <w:spacing w:after="160"/>
      </w:pPr>
      <w:r>
        <w:t>Intern - elektronische Handakte</w:t>
      </w:r>
    </w:p>
    <w:p>
      <w:pPr>
        <w:spacing w:after="80"/>
      </w:pPr>
      <w:r>
        <w:rPr>
          <w:rFonts w:ascii="Arial" w:hAnsi="Arial"/>
          <w:color w:val="586069"/>
          <w:sz w:val="18"/>
        </w:rPr>
        <w:t>Datum: 01.07.2026  |  Zeichen: PMH/26-184 AM</w:t>
      </w:r>
    </w:p>
    <w:p>
      <w:pPr>
        <w:pStyle w:val="Title"/>
      </w:pPr>
      <w:r>
        <w:t>Chronologie und Belegstatus</w:t>
      </w:r>
    </w:p>
    <w:p>
      <w:pPr>
        <w:jc w:val="both"/>
      </w:pPr>
      <w:r>
        <w:t>Die Chronologie bildet Tatsachen, Beleglage und Widersprüche ab. Datumsangaben ohne Primärbeleg bleiben als vorläufig gekennzeichnet.</w:t>
      </w:r>
    </w:p>
    <w:p>
      <w:pPr>
        <w:pStyle w:val="Heading1"/>
      </w:pPr>
      <w:r>
        <w:t>1. Zeitachse</w:t>
      </w:r>
    </w:p>
    <w:tbl>
      <w:tblPr>
        <w:tblStyle w:val="TableGrid"/>
        <w:tblW w:type="dxa" w:w="9600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2750"/>
        <w:gridCol w:w="2500"/>
        <w:gridCol w:w="3100"/>
      </w:tblGrid>
      <w:tr>
        <w:trPr>
          <w:tblHeader w:val="true"/>
        </w:trPr>
        <w:tc>
          <w:tcPr>
            <w:tcW w:type="dxa" w:w="1250"/>
            <w:vAlign w:val="center"/>
            <w:shd w:fill="DCE6F1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Datum</w:t>
            </w:r>
          </w:p>
        </w:tc>
        <w:tc>
          <w:tcPr>
            <w:tcW w:type="dxa" w:w="2750"/>
            <w:vAlign w:val="center"/>
            <w:shd w:fill="DCE6F1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Vorgang</w:t>
            </w:r>
          </w:p>
        </w:tc>
        <w:tc>
          <w:tcPr>
            <w:tcW w:type="dxa" w:w="2500"/>
            <w:vAlign w:val="center"/>
            <w:shd w:fill="DCE6F1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Quelle</w:t>
            </w:r>
          </w:p>
        </w:tc>
        <w:tc>
          <w:tcPr>
            <w:tcW w:type="dxa" w:w="3100"/>
            <w:vAlign w:val="center"/>
            <w:shd w:fill="DCE6F1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Offener Punkt</w:t>
            </w:r>
          </w:p>
        </w:tc>
      </w:tr>
      <w:tr>
        <w:tc>
          <w:tcPr>
            <w:tcW w:type="dxa" w:w="1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03.02.2018</w:t>
            </w:r>
          </w:p>
        </w:tc>
        <w:tc>
          <w:tcPr>
            <w:tcW w:type="dxa" w:w="2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Grundstücksübertragung an Karsten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UR 118/2018, unvollständige Kopie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gesamter Urkundentext und Vollzugsmitteilung</w:t>
            </w:r>
          </w:p>
        </w:tc>
      </w:tr>
      <w:tr>
        <w:tc>
          <w:tcPr>
            <w:tcW w:type="dxa" w:w="12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19.04.2018</w:t>
            </w:r>
          </w:p>
        </w:tc>
        <w:tc>
          <w:tcPr>
            <w:tcW w:type="dxa" w:w="27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Eigentumsumschreibung</w:t>
            </w:r>
          </w:p>
        </w:tc>
        <w:tc>
          <w:tcPr>
            <w:tcW w:type="dxa" w:w="25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Grundbuchmitteilung laut Karsten</w:t>
            </w:r>
          </w:p>
        </w:tc>
        <w:tc>
          <w:tcPr>
            <w:tcW w:type="dxa" w:w="3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aktueller und historischer Auszug</w:t>
            </w:r>
          </w:p>
        </w:tc>
      </w:tr>
      <w:tr>
        <w:tc>
          <w:tcPr>
            <w:tcW w:type="dxa" w:w="1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2018-2025</w:t>
            </w:r>
          </w:p>
        </w:tc>
        <w:tc>
          <w:tcPr>
            <w:tcW w:type="dxa" w:w="2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Ferienvermietung Obergeschoss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Kalender und Kontoauszüge auszugsweise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Vertragspartner, Mieterlöse, Kosten</w:t>
            </w:r>
          </w:p>
        </w:tc>
      </w:tr>
      <w:tr>
        <w:tc>
          <w:tcPr>
            <w:tcW w:type="dxa" w:w="12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18.09.2021</w:t>
            </w:r>
          </w:p>
        </w:tc>
        <w:tc>
          <w:tcPr>
            <w:tcW w:type="dxa" w:w="27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Depotübertrag auf Theo</w:t>
            </w:r>
          </w:p>
        </w:tc>
        <w:tc>
          <w:tcPr>
            <w:tcW w:type="dxa" w:w="25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Bankbuchung 47-88301</w:t>
            </w:r>
          </w:p>
        </w:tc>
        <w:tc>
          <w:tcPr>
            <w:tcW w:type="dxa" w:w="3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Depotauftrag, Gegenleistung, Ertragsabrede</w:t>
            </w:r>
          </w:p>
        </w:tc>
      </w:tr>
      <w:tr>
        <w:tc>
          <w:tcPr>
            <w:tcW w:type="dxa" w:w="1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06.05.2022</w:t>
            </w:r>
          </w:p>
        </w:tc>
        <w:tc>
          <w:tcPr>
            <w:tcW w:type="dxa" w:w="2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Einzeltestament Helga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Eröffnungsabschrift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Auslegung und frühere Verfügungen</w:t>
            </w:r>
          </w:p>
        </w:tc>
      </w:tr>
      <w:tr>
        <w:tc>
          <w:tcPr>
            <w:tcW w:type="dxa" w:w="12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03.11.2023</w:t>
            </w:r>
          </w:p>
        </w:tc>
        <w:tc>
          <w:tcPr>
            <w:tcW w:type="dxa" w:w="27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Beginn ambulanter Pflege</w:t>
            </w:r>
          </w:p>
        </w:tc>
        <w:tc>
          <w:tcPr>
            <w:tcW w:type="dxa" w:w="25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Leistungsnachweise Nordsee-Pflege</w:t>
            </w:r>
          </w:p>
        </w:tc>
        <w:tc>
          <w:tcPr>
            <w:tcW w:type="dxa" w:w="3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Eigenleistungen Karsten daneben</w:t>
            </w:r>
          </w:p>
        </w:tc>
      </w:tr>
      <w:tr>
        <w:tc>
          <w:tcPr>
            <w:tcW w:type="dxa" w:w="1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14.01.2026</w:t>
            </w:r>
          </w:p>
        </w:tc>
        <w:tc>
          <w:tcPr>
            <w:tcW w:type="dxa" w:w="2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Tod Helga Martensen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Sterbeurkunde S 17/2026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unstreitig</w:t>
            </w:r>
          </w:p>
        </w:tc>
      </w:tr>
      <w:tr>
        <w:tc>
          <w:tcPr>
            <w:tcW w:type="dxa" w:w="12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30.03.2026</w:t>
            </w:r>
          </w:p>
        </w:tc>
        <w:tc>
          <w:tcPr>
            <w:tcW w:type="dxa" w:w="27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Privates Nachlassverzeichnis</w:t>
            </w:r>
          </w:p>
        </w:tc>
        <w:tc>
          <w:tcPr>
            <w:tcW w:type="dxa" w:w="25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Schreiben Karsten</w:t>
            </w:r>
          </w:p>
        </w:tc>
        <w:tc>
          <w:tcPr>
            <w:tcW w:type="dxa" w:w="3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Vollständigkeit und Wertermittlung</w:t>
            </w:r>
          </w:p>
        </w:tc>
      </w:tr>
      <w:tr>
        <w:tc>
          <w:tcPr>
            <w:tcW w:type="dxa" w:w="1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25.06.2026</w:t>
            </w:r>
          </w:p>
        </w:tc>
        <w:tc>
          <w:tcPr>
            <w:tcW w:type="dxa" w:w="27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Auskunftsverlangen Anja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Schreiben Voranwalt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Zugangsnachweis</w:t>
            </w:r>
          </w:p>
        </w:tc>
      </w:tr>
      <w:tr>
        <w:tc>
          <w:tcPr>
            <w:tcW w:type="dxa" w:w="12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29.06.2026</w:t>
            </w:r>
          </w:p>
        </w:tc>
        <w:tc>
          <w:tcPr>
            <w:tcW w:type="dxa" w:w="275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Mandatsübernahme</w:t>
            </w:r>
          </w:p>
        </w:tc>
        <w:tc>
          <w:tcPr>
            <w:tcW w:type="dxa" w:w="25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Mandatsnotiz</w:t>
            </w:r>
          </w:p>
        </w:tc>
        <w:tc>
          <w:tcPr>
            <w:tcW w:type="dxa" w:w="3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Fristen und Anspruchsgegner</w:t>
            </w:r>
          </w:p>
        </w:tc>
      </w:tr>
    </w:tbl>
    <w:p>
      <w:pPr>
        <w:spacing w:after="0"/>
      </w:pPr>
    </w:p>
    <w:p>
      <w:pPr>
        <w:pStyle w:val="Heading1"/>
      </w:pPr>
      <w:r>
        <w:t>2. Arbeitshypothesen ohne Vorfestlegung</w:t>
      </w:r>
    </w:p>
    <w:p>
      <w:pPr>
        <w:jc w:val="both"/>
      </w:pPr>
      <w:r>
        <w:t>Für das Grundstück ist nicht nur der Urkundentext, sondern die tatsächlich praktizierte Nutzungs- und Lastenverteilung zu rekonstruieren. Beim Depot sind Übertragung, weitere Erträge, etwaige Rückübertragungsrechte und der Zahlungsweg auseinanderzuhalten. Pflege- und Investitionsaufwand ist nach Datum, Zahlendem, Rechtsgrund und möglicher Gegenleistung zu prüfen; eine pauschale Verrechnung unterbleibt.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41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color w:val="586069"/>
        <w:sz w:val="16"/>
      </w:rPr>
      <w:t xml:space="preserve">Seite </w:t>
    </w:r>
    <w:r>
      <w:rPr>
        <w:rFonts w:ascii="Arial" w:hAnsi="Arial"/>
        <w:color w:val="58606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/>
        <w:color w:val="586069"/>
        <w:sz w:val="16"/>
      </w:rPr>
      <w:t>Petersen &amp; Hagedorn Rechtsanwälte  |  PMH/26-184 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Chronologie und Belegstatus</dc:title>
  <dc:subject>PMH/26-184 AM</dc:subject>
  <dc:creator>Klotzkette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