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NOTARIELLE AUSFERTIGUNG</w:t>
      </w:r>
    </w:p>
    <w:p>
      <w:pPr>
        <w:spacing w:after="40"/>
      </w:pPr>
      <w:r>
        <w:rPr>
          <w:rFonts w:ascii="Arial" w:hAnsi="Arial"/>
          <w:b/>
          <w:sz w:val="25"/>
        </w:rPr>
        <w:t>Notarin Dr. Ruth Behrends</w:t>
      </w:r>
    </w:p>
    <w:p>
      <w:pPr>
        <w:spacing w:after="200"/>
      </w:pPr>
      <w:r>
        <w:rPr>
          <w:rFonts w:ascii="Arial" w:hAnsi="Arial"/>
          <w:color w:val="586069"/>
          <w:sz w:val="17"/>
        </w:rPr>
        <w:t>Amtssitz Westerland | Strandstraße 12 | 25980 Sylt</w:t>
      </w:r>
    </w:p>
    <w:p>
      <w:pPr>
        <w:spacing w:after="160"/>
      </w:pPr>
      <w:r>
        <w:t>Ausfertigung für Helga Martensen und Karsten Martensen</w:t>
      </w:r>
    </w:p>
    <w:p>
      <w:pPr>
        <w:spacing w:after="80"/>
      </w:pPr>
      <w:r>
        <w:rPr>
          <w:rFonts w:ascii="Arial" w:hAnsi="Arial"/>
          <w:color w:val="586069"/>
          <w:sz w:val="18"/>
        </w:rPr>
        <w:t>Datum: 03.02.2018  |  Zeichen: UR 118/2018 B</w:t>
      </w:r>
    </w:p>
    <w:p>
      <w:pPr>
        <w:pStyle w:val="Title"/>
      </w:pPr>
      <w:r>
        <w:t>Grundstücksüberlassung mit Nießbrauch</w:t>
      </w:r>
    </w:p>
    <w:p>
      <w:pPr>
        <w:jc w:val="both"/>
      </w:pPr>
      <w:r>
        <w:t>Vor mir, der Notarin Dr. Ruth Behrends mit Amtssitz in Sylt, erschienen Helga Martensen, geboren am 8. August 1940, und Karsten Martensen, geboren am 14. November 1966. Die Beteiligten wiesen sich durch gültige Personalausweise aus und erklärten nach Belehrung:</w:t>
      </w:r>
    </w:p>
    <w:p>
      <w:pPr>
        <w:pStyle w:val="Heading1"/>
      </w:pPr>
      <w:r>
        <w:t>1. Grundbesitz</w:t>
      </w:r>
    </w:p>
    <w:p>
      <w:pPr>
        <w:jc w:val="both"/>
      </w:pPr>
      <w:r>
        <w:t>Helga Martensen ist als Eigentümerin des im Grundbuch von Keitum Blatt 2187 verzeichneten Grundbesitzes, Gemarkung Keitum, Flur 18, Flurstück 77, Gebäude- und Freifläche Gurtstig 18, Größe 1.146 Quadratmeter, eingetragen. Belastungen in Abteilung III bestehen zugunsten der Inselbank AG in Höhe von nominal 180.000 Euro; nach Angabe valutieren sie noch mit rund 42.000 Euro.</w:t>
      </w:r>
    </w:p>
    <w:p>
      <w:pPr>
        <w:pStyle w:val="Heading1"/>
      </w:pPr>
      <w:r>
        <w:t>2. Übertragung und Gegenleistung</w:t>
      </w:r>
    </w:p>
    <w:p>
      <w:pPr>
        <w:jc w:val="both"/>
      </w:pPr>
      <w:r>
        <w:t>Helga Martensen überträgt den Grundbesitz auf Karsten Martensen. Eine Geldzahlung ist nicht geschuldet. Karsten übernimmt die persönliche Darlehenshaftung nicht, verpflichtet sich jedoch im Innenverhältnis zur Zahlung der laufenden Darlehensraten ab Besitzübergang. Die Beteiligten bezeichnen die Zuwendung als vorweggenommene Erbfolge.</w:t>
      </w:r>
    </w:p>
    <w:p>
      <w:pPr>
        <w:pStyle w:val="Heading1"/>
      </w:pPr>
      <w:r>
        <w:t>3. Vorbehaltener Nießbrauch</w:t>
      </w:r>
    </w:p>
    <w:p>
      <w:pPr>
        <w:jc w:val="both"/>
      </w:pPr>
      <w:r>
        <w:t>Helga Martensen behält sich auf Lebenszeit den unentgeltlichen Nießbrauch am gesamten Grundbesitz vor. Sie ist insbesondere berechtigt, das Erdgeschoss selbst zu nutzen, die beiden Einheiten im Obergeschoss zu vermieten und die Nettoerträge zu vereinnahmen. Sie trägt gewöhnliche Bewirtschaftungskosten; Karsten trägt außergewöhnliche Erhaltungsmaßnahmen ab einem Einzelbetrag von 5.000 Euro, sofern sie nicht durch schuldhafte Nutzung verursacht wurden.</w:t>
      </w:r>
    </w:p>
    <w:p>
      <w:pPr>
        <w:pStyle w:val="Heading1"/>
      </w:pPr>
      <w:r>
        <w:t>4. Verfügungsbeschränkung und Rückforderung</w:t>
      </w:r>
    </w:p>
    <w:p>
      <w:pPr>
        <w:jc w:val="both"/>
      </w:pPr>
      <w:r>
        <w:t>Karsten verpflichtet sich schuldrechtlich, den Grundbesitz zu Lebzeiten Helga Martensens ohne deren notariell beglaubigte Zustimmung weder zu veräußern noch über den eingetragenen Bestand hinaus zu belasten. Ein Rückübertragungsanspruch besteht bei Vorversterben des Erwerbers, Zwangsvollstreckung in den Grundbesitz, Eröffnung eines Insolvenzverfahrens oder grobem Undank. Zur Sicherung wird eine Vormerkung bewilligt.</w:t>
      </w:r>
    </w:p>
    <w:p>
      <w:pPr>
        <w:pStyle w:val="Heading1"/>
      </w:pPr>
      <w:r>
        <w:t>5. Besitz, Nutzen, Lasten und Vollzug</w:t>
      </w:r>
    </w:p>
    <w:p>
      <w:pPr>
        <w:jc w:val="both"/>
      </w:pPr>
      <w:r>
        <w:t>Der mittelbare Besitz geht mit Eigentumsumschreibung über; die tatsächliche Nutzung richtet sich nach dem Nießbrauch. Die Notarin wird mit dem Vollzug und der Einholung erforderlicher Genehmigungen beauftragt. Die Beteiligten wurden über mögliche Pflichtteilsergänzungsfolgen und darüber belehrt, dass deren Bewertung von der konkreten Vertragsgestaltung und Durchführung abhängen kann.</w:t>
      </w:r>
    </w:p>
    <w:p>
      <w:pPr>
        <w:jc w:val="both"/>
      </w:pPr>
      <w:r>
        <w:t>Vorgelesen, genehmigt und eigenhändig unterschrieben. gez. Helga Martensen | gez. Karsten Martensen | gez. Dr. Ruth Behrends, Notarin</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Notarin Dr. Ruth Behrends  |  UR 118/2018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Grundstücksüberlassung mit Nießbrauch</dc:title>
  <dc:subject>UR 118/2018 B</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