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7365D"/>
          <w:sz w:val="17"/>
        </w:rPr>
        <w:t>SACHVERHALTSAUFSTELLUNG</w:t>
      </w:r>
    </w:p>
    <w:p>
      <w:pPr>
        <w:spacing w:after="40"/>
      </w:pPr>
      <w:r>
        <w:rPr>
          <w:rFonts w:ascii="Arial" w:hAnsi="Arial"/>
          <w:b/>
          <w:sz w:val="25"/>
        </w:rPr>
        <w:t>Karsten Martensen</w:t>
      </w:r>
    </w:p>
    <w:p>
      <w:pPr>
        <w:spacing w:after="200"/>
      </w:pPr>
      <w:r>
        <w:rPr>
          <w:rFonts w:ascii="Arial" w:hAnsi="Arial"/>
          <w:color w:val="586069"/>
          <w:sz w:val="17"/>
        </w:rPr>
        <w:t>Gurtstig 18 | 25980 Sylt</w:t>
      </w:r>
    </w:p>
    <w:p>
      <w:pPr>
        <w:spacing w:after="160"/>
      </w:pPr>
      <w:r>
        <w:t>Kanzlei Thomsen Legal</w:t>
      </w:r>
    </w:p>
    <w:p>
      <w:pPr>
        <w:spacing w:after="80"/>
      </w:pPr>
      <w:r>
        <w:rPr>
          <w:rFonts w:ascii="Arial" w:hAnsi="Arial"/>
          <w:color w:val="586069"/>
          <w:sz w:val="18"/>
        </w:rPr>
        <w:t>Datum: 24.06.2026  |  Zeichen: Anlage KM-4</w:t>
      </w:r>
    </w:p>
    <w:p>
      <w:pPr>
        <w:pStyle w:val="Title"/>
      </w:pPr>
      <w:r>
        <w:t>Aufstellung Pflege, Betreuung und Gebäudekosten</w:t>
      </w:r>
    </w:p>
    <w:p>
      <w:pPr>
        <w:jc w:val="both"/>
      </w:pPr>
      <w:r>
        <w:t>Die Aufstellung beruht auf Kalendern, Rechnungen und Kontoauszügen. Zeiten vor November 2023 wurden nicht nachträglich geschätzt. Ob und in welchem Umfang einzelne Positionen rechtlich ausgleichsfähig sind, ist nicht Gegenstand dieser Aufstellung.</w:t>
      </w:r>
    </w:p>
    <w:p>
      <w:pPr>
        <w:pStyle w:val="Heading1"/>
      </w:pPr>
      <w:r>
        <w:t>1. Betreuung und Organisation</w:t>
      </w:r>
    </w:p>
    <w:tbl>
      <w:tblPr>
        <w:tblStyle w:val="TableGrid"/>
        <w:tblW w:type="dxa" w:w="9600"/>
        <w:tblLayout w:type="fixed"/>
        <w:tblLook w:firstColumn="1" w:firstRow="1" w:lastColumn="0" w:lastRow="0" w:noHBand="0" w:noVBand="1" w:val="04A0"/>
        <w:tblInd w:w="120" w:type="dxa"/>
      </w:tblPr>
      <w:tblGrid>
        <w:gridCol w:w="1700"/>
        <w:gridCol w:w="3400"/>
        <w:gridCol w:w="1900"/>
        <w:gridCol w:w="2600"/>
      </w:tblGrid>
      <w:tr>
        <w:trPr>
          <w:tblHeader w:val="true"/>
        </w:trPr>
        <w:tc>
          <w:tcPr>
            <w:tcW w:type="dxa" w:w="1700"/>
            <w:vAlign w:val="center"/>
            <w:shd w:fill="DCE6F1"/>
            <w:tcMar>
              <w:top w:w="90" w:type="dxa"/>
              <w:start w:w="120" w:type="dxa"/>
              <w:bottom w:w="90" w:type="dxa"/>
              <w:end w:w="120" w:type="dxa"/>
            </w:tcMar>
          </w:tcPr>
          <w:p>
            <w:pPr>
              <w:spacing w:after="0"/>
            </w:pPr>
            <w:r>
              <w:rPr>
                <w:rFonts w:ascii="Arial" w:hAnsi="Arial"/>
                <w:b/>
                <w:sz w:val="18"/>
              </w:rPr>
              <w:t>Zeitraum</w:t>
            </w:r>
          </w:p>
        </w:tc>
        <w:tc>
          <w:tcPr>
            <w:tcW w:type="dxa" w:w="3400"/>
            <w:vAlign w:val="center"/>
            <w:shd w:fill="DCE6F1"/>
            <w:tcMar>
              <w:top w:w="90" w:type="dxa"/>
              <w:start w:w="120" w:type="dxa"/>
              <w:bottom w:w="90" w:type="dxa"/>
              <w:end w:w="120" w:type="dxa"/>
            </w:tcMar>
          </w:tcPr>
          <w:p>
            <w:pPr>
              <w:spacing w:after="0"/>
            </w:pPr>
            <w:r>
              <w:rPr>
                <w:rFonts w:ascii="Arial" w:hAnsi="Arial"/>
                <w:b/>
                <w:sz w:val="18"/>
              </w:rPr>
              <w:t>Leistung</w:t>
            </w:r>
          </w:p>
        </w:tc>
        <w:tc>
          <w:tcPr>
            <w:tcW w:type="dxa" w:w="1900"/>
            <w:vAlign w:val="center"/>
            <w:shd w:fill="DCE6F1"/>
            <w:tcMar>
              <w:top w:w="90" w:type="dxa"/>
              <w:start w:w="120" w:type="dxa"/>
              <w:bottom w:w="90" w:type="dxa"/>
              <w:end w:w="120" w:type="dxa"/>
            </w:tcMar>
          </w:tcPr>
          <w:p>
            <w:pPr>
              <w:spacing w:after="0"/>
            </w:pPr>
            <w:r>
              <w:rPr>
                <w:rFonts w:ascii="Arial" w:hAnsi="Arial"/>
                <w:b/>
                <w:sz w:val="18"/>
              </w:rPr>
              <w:t>Umfang</w:t>
            </w:r>
          </w:p>
        </w:tc>
        <w:tc>
          <w:tcPr>
            <w:tcW w:type="dxa" w:w="2600"/>
            <w:vAlign w:val="center"/>
            <w:shd w:fill="DCE6F1"/>
            <w:tcMar>
              <w:top w:w="90" w:type="dxa"/>
              <w:start w:w="120" w:type="dxa"/>
              <w:bottom w:w="90" w:type="dxa"/>
              <w:end w:w="120" w:type="dxa"/>
            </w:tcMar>
          </w:tcPr>
          <w:p>
            <w:pPr>
              <w:spacing w:after="0"/>
            </w:pPr>
            <w:r>
              <w:rPr>
                <w:rFonts w:ascii="Arial" w:hAnsi="Arial"/>
                <w:b/>
                <w:sz w:val="18"/>
              </w:rPr>
              <w:t>Beleg</w:t>
            </w:r>
          </w:p>
        </w:tc>
      </w:tr>
      <w:tr>
        <w:tc>
          <w:tcPr>
            <w:tcW w:type="dxa" w:w="1700"/>
            <w:vAlign w:val="center"/>
            <w:tcMar>
              <w:top w:w="90" w:type="dxa"/>
              <w:start w:w="120" w:type="dxa"/>
              <w:bottom w:w="90" w:type="dxa"/>
              <w:end w:w="120" w:type="dxa"/>
            </w:tcMar>
          </w:tcPr>
          <w:p>
            <w:pPr>
              <w:spacing w:after="0" w:line="259" w:lineRule="auto"/>
            </w:pPr>
            <w:r>
              <w:rPr>
                <w:rFonts w:ascii="Arial" w:hAnsi="Arial"/>
                <w:sz w:val="17"/>
              </w:rPr>
              <w:t>11/2023-03/2024</w:t>
            </w:r>
          </w:p>
        </w:tc>
        <w:tc>
          <w:tcPr>
            <w:tcW w:type="dxa" w:w="3400"/>
            <w:vAlign w:val="center"/>
            <w:tcMar>
              <w:top w:w="90" w:type="dxa"/>
              <w:start w:w="120" w:type="dxa"/>
              <w:bottom w:w="90" w:type="dxa"/>
              <w:end w:w="120" w:type="dxa"/>
            </w:tcMar>
          </w:tcPr>
          <w:p>
            <w:pPr>
              <w:spacing w:after="0" w:line="259" w:lineRule="auto"/>
            </w:pPr>
            <w:r>
              <w:rPr>
                <w:rFonts w:ascii="Arial" w:hAnsi="Arial"/>
                <w:sz w:val="17"/>
              </w:rPr>
              <w:t>Arztfahrten Westerland und Niebüll</w:t>
            </w:r>
          </w:p>
        </w:tc>
        <w:tc>
          <w:tcPr>
            <w:tcW w:type="dxa" w:w="1900"/>
            <w:vAlign w:val="center"/>
            <w:tcMar>
              <w:top w:w="90" w:type="dxa"/>
              <w:start w:w="120" w:type="dxa"/>
              <w:bottom w:w="90" w:type="dxa"/>
              <w:end w:w="120" w:type="dxa"/>
            </w:tcMar>
          </w:tcPr>
          <w:p>
            <w:pPr>
              <w:spacing w:after="0" w:line="259" w:lineRule="auto"/>
            </w:pPr>
            <w:r>
              <w:rPr>
                <w:rFonts w:ascii="Arial" w:hAnsi="Arial"/>
                <w:sz w:val="17"/>
              </w:rPr>
              <w:t>18 Fahrten / 31 Stunden</w:t>
            </w:r>
          </w:p>
        </w:tc>
        <w:tc>
          <w:tcPr>
            <w:tcW w:type="dxa" w:w="2600"/>
            <w:vAlign w:val="center"/>
            <w:tcMar>
              <w:top w:w="90" w:type="dxa"/>
              <w:start w:w="120" w:type="dxa"/>
              <w:bottom w:w="90" w:type="dxa"/>
              <w:end w:w="120" w:type="dxa"/>
            </w:tcMar>
          </w:tcPr>
          <w:p>
            <w:pPr>
              <w:spacing w:after="0" w:line="259" w:lineRule="auto"/>
            </w:pPr>
            <w:r>
              <w:rPr>
                <w:rFonts w:ascii="Arial" w:hAnsi="Arial"/>
                <w:sz w:val="17"/>
              </w:rPr>
              <w:t>Kalender, Parkbelege</w:t>
            </w:r>
          </w:p>
        </w:tc>
      </w:tr>
      <w:tr>
        <w:tc>
          <w:tcPr>
            <w:tcW w:type="dxa" w:w="1700"/>
            <w:vAlign w:val="center"/>
            <w:shd w:fill="F2F4F7"/>
            <w:tcMar>
              <w:top w:w="90" w:type="dxa"/>
              <w:start w:w="120" w:type="dxa"/>
              <w:bottom w:w="90" w:type="dxa"/>
              <w:end w:w="120" w:type="dxa"/>
            </w:tcMar>
          </w:tcPr>
          <w:p>
            <w:pPr>
              <w:spacing w:after="0" w:line="259" w:lineRule="auto"/>
            </w:pPr>
            <w:r>
              <w:rPr>
                <w:rFonts w:ascii="Arial" w:hAnsi="Arial"/>
                <w:sz w:val="17"/>
              </w:rPr>
              <w:t>04/2024-12/2024</w:t>
            </w:r>
          </w:p>
        </w:tc>
        <w:tc>
          <w:tcPr>
            <w:tcW w:type="dxa" w:w="3400"/>
            <w:vAlign w:val="center"/>
            <w:shd w:fill="F2F4F7"/>
            <w:tcMar>
              <w:top w:w="90" w:type="dxa"/>
              <w:start w:w="120" w:type="dxa"/>
              <w:bottom w:w="90" w:type="dxa"/>
              <w:end w:w="120" w:type="dxa"/>
            </w:tcMar>
          </w:tcPr>
          <w:p>
            <w:pPr>
              <w:spacing w:after="0" w:line="259" w:lineRule="auto"/>
            </w:pPr>
            <w:r>
              <w:rPr>
                <w:rFonts w:ascii="Arial" w:hAnsi="Arial"/>
                <w:sz w:val="17"/>
              </w:rPr>
              <w:t>Einkäufe, Medikamente, Pflegedienst</w:t>
            </w:r>
          </w:p>
        </w:tc>
        <w:tc>
          <w:tcPr>
            <w:tcW w:type="dxa" w:w="1900"/>
            <w:vAlign w:val="center"/>
            <w:shd w:fill="F2F4F7"/>
            <w:tcMar>
              <w:top w:w="90" w:type="dxa"/>
              <w:start w:w="120" w:type="dxa"/>
              <w:bottom w:w="90" w:type="dxa"/>
              <w:end w:w="120" w:type="dxa"/>
            </w:tcMar>
          </w:tcPr>
          <w:p>
            <w:pPr>
              <w:spacing w:after="0" w:line="259" w:lineRule="auto"/>
            </w:pPr>
            <w:r>
              <w:rPr>
                <w:rFonts w:ascii="Arial" w:hAnsi="Arial"/>
                <w:sz w:val="17"/>
              </w:rPr>
              <w:t>96 Besuche / 144 Stunden</w:t>
            </w:r>
          </w:p>
        </w:tc>
        <w:tc>
          <w:tcPr>
            <w:tcW w:type="dxa" w:w="2600"/>
            <w:vAlign w:val="center"/>
            <w:shd w:fill="F2F4F7"/>
            <w:tcMar>
              <w:top w:w="90" w:type="dxa"/>
              <w:start w:w="120" w:type="dxa"/>
              <w:bottom w:w="90" w:type="dxa"/>
              <w:end w:w="120" w:type="dxa"/>
            </w:tcMar>
          </w:tcPr>
          <w:p>
            <w:pPr>
              <w:spacing w:after="0" w:line="259" w:lineRule="auto"/>
            </w:pPr>
            <w:r>
              <w:rPr>
                <w:rFonts w:ascii="Arial" w:hAnsi="Arial"/>
                <w:sz w:val="17"/>
              </w:rPr>
              <w:t>Kalender, Apothekenbelege</w:t>
            </w:r>
          </w:p>
        </w:tc>
      </w:tr>
      <w:tr>
        <w:tc>
          <w:tcPr>
            <w:tcW w:type="dxa" w:w="1700"/>
            <w:vAlign w:val="center"/>
            <w:tcMar>
              <w:top w:w="90" w:type="dxa"/>
              <w:start w:w="120" w:type="dxa"/>
              <w:bottom w:w="90" w:type="dxa"/>
              <w:end w:w="120" w:type="dxa"/>
            </w:tcMar>
          </w:tcPr>
          <w:p>
            <w:pPr>
              <w:spacing w:after="0" w:line="259" w:lineRule="auto"/>
            </w:pPr>
            <w:r>
              <w:rPr>
                <w:rFonts w:ascii="Arial" w:hAnsi="Arial"/>
                <w:sz w:val="17"/>
              </w:rPr>
              <w:t>01/2025-09/2025</w:t>
            </w:r>
          </w:p>
        </w:tc>
        <w:tc>
          <w:tcPr>
            <w:tcW w:type="dxa" w:w="3400"/>
            <w:vAlign w:val="center"/>
            <w:tcMar>
              <w:top w:w="90" w:type="dxa"/>
              <w:start w:w="120" w:type="dxa"/>
              <w:bottom w:w="90" w:type="dxa"/>
              <w:end w:w="120" w:type="dxa"/>
            </w:tcMar>
          </w:tcPr>
          <w:p>
            <w:pPr>
              <w:spacing w:after="0" w:line="259" w:lineRule="auto"/>
            </w:pPr>
            <w:r>
              <w:rPr>
                <w:rFonts w:ascii="Arial" w:hAnsi="Arial"/>
                <w:sz w:val="17"/>
              </w:rPr>
              <w:t>Haushalt, Anträge, Nachtbereitschaft</w:t>
            </w:r>
          </w:p>
        </w:tc>
        <w:tc>
          <w:tcPr>
            <w:tcW w:type="dxa" w:w="1900"/>
            <w:vAlign w:val="center"/>
            <w:tcMar>
              <w:top w:w="90" w:type="dxa"/>
              <w:start w:w="120" w:type="dxa"/>
              <w:bottom w:w="90" w:type="dxa"/>
              <w:end w:w="120" w:type="dxa"/>
            </w:tcMar>
          </w:tcPr>
          <w:p>
            <w:pPr>
              <w:spacing w:after="0" w:line="259" w:lineRule="auto"/>
            </w:pPr>
            <w:r>
              <w:rPr>
                <w:rFonts w:ascii="Arial" w:hAnsi="Arial"/>
                <w:sz w:val="17"/>
              </w:rPr>
              <w:t>173 Stunden</w:t>
            </w:r>
          </w:p>
        </w:tc>
        <w:tc>
          <w:tcPr>
            <w:tcW w:type="dxa" w:w="2600"/>
            <w:vAlign w:val="center"/>
            <w:tcMar>
              <w:top w:w="90" w:type="dxa"/>
              <w:start w:w="120" w:type="dxa"/>
              <w:bottom w:w="90" w:type="dxa"/>
              <w:end w:w="120" w:type="dxa"/>
            </w:tcMar>
          </w:tcPr>
          <w:p>
            <w:pPr>
              <w:spacing w:after="0" w:line="259" w:lineRule="auto"/>
            </w:pPr>
            <w:r>
              <w:rPr>
                <w:rFonts w:ascii="Arial" w:hAnsi="Arial"/>
                <w:sz w:val="17"/>
              </w:rPr>
              <w:t>Pflegeakte, Nachrichten</w:t>
            </w:r>
          </w:p>
        </w:tc>
      </w:tr>
      <w:tr>
        <w:tc>
          <w:tcPr>
            <w:tcW w:type="dxa" w:w="1700"/>
            <w:vAlign w:val="center"/>
            <w:shd w:fill="F2F4F7"/>
            <w:tcMar>
              <w:top w:w="90" w:type="dxa"/>
              <w:start w:w="120" w:type="dxa"/>
              <w:bottom w:w="90" w:type="dxa"/>
              <w:end w:w="120" w:type="dxa"/>
            </w:tcMar>
          </w:tcPr>
          <w:p>
            <w:pPr>
              <w:spacing w:after="0" w:line="259" w:lineRule="auto"/>
            </w:pPr>
            <w:r>
              <w:rPr>
                <w:rFonts w:ascii="Arial" w:hAnsi="Arial"/>
                <w:sz w:val="17"/>
              </w:rPr>
              <w:t>10/2025-14.01.2026</w:t>
            </w:r>
          </w:p>
        </w:tc>
        <w:tc>
          <w:tcPr>
            <w:tcW w:type="dxa" w:w="3400"/>
            <w:vAlign w:val="center"/>
            <w:shd w:fill="F2F4F7"/>
            <w:tcMar>
              <w:top w:w="90" w:type="dxa"/>
              <w:start w:w="120" w:type="dxa"/>
              <w:bottom w:w="90" w:type="dxa"/>
              <w:end w:w="120" w:type="dxa"/>
            </w:tcMar>
          </w:tcPr>
          <w:p>
            <w:pPr>
              <w:spacing w:after="0" w:line="259" w:lineRule="auto"/>
            </w:pPr>
            <w:r>
              <w:rPr>
                <w:rFonts w:ascii="Arial" w:hAnsi="Arial"/>
                <w:sz w:val="17"/>
              </w:rPr>
              <w:t>Tägliche Versorgung und Hospizkoordination</w:t>
            </w:r>
          </w:p>
        </w:tc>
        <w:tc>
          <w:tcPr>
            <w:tcW w:type="dxa" w:w="1900"/>
            <w:vAlign w:val="center"/>
            <w:shd w:fill="F2F4F7"/>
            <w:tcMar>
              <w:top w:w="90" w:type="dxa"/>
              <w:start w:w="120" w:type="dxa"/>
              <w:bottom w:w="90" w:type="dxa"/>
              <w:end w:w="120" w:type="dxa"/>
            </w:tcMar>
          </w:tcPr>
          <w:p>
            <w:pPr>
              <w:spacing w:after="0" w:line="259" w:lineRule="auto"/>
            </w:pPr>
            <w:r>
              <w:rPr>
                <w:rFonts w:ascii="Arial" w:hAnsi="Arial"/>
                <w:sz w:val="17"/>
              </w:rPr>
              <w:t>138 Stunden</w:t>
            </w:r>
          </w:p>
        </w:tc>
        <w:tc>
          <w:tcPr>
            <w:tcW w:type="dxa" w:w="2600"/>
            <w:vAlign w:val="center"/>
            <w:shd w:fill="F2F4F7"/>
            <w:tcMar>
              <w:top w:w="90" w:type="dxa"/>
              <w:start w:w="120" w:type="dxa"/>
              <w:bottom w:w="90" w:type="dxa"/>
              <w:end w:w="120" w:type="dxa"/>
            </w:tcMar>
          </w:tcPr>
          <w:p>
            <w:pPr>
              <w:spacing w:after="0" w:line="259" w:lineRule="auto"/>
            </w:pPr>
            <w:r>
              <w:rPr>
                <w:rFonts w:ascii="Arial" w:hAnsi="Arial"/>
                <w:sz w:val="17"/>
              </w:rPr>
              <w:t>Dienstplan, Hospizmail</w:t>
            </w:r>
          </w:p>
        </w:tc>
      </w:tr>
    </w:tbl>
    <w:p>
      <w:pPr>
        <w:spacing w:after="0"/>
      </w:pPr>
    </w:p>
    <w:p>
      <w:pPr>
        <w:pStyle w:val="Heading1"/>
      </w:pPr>
      <w:r>
        <w:t>2. Zahlungen Helga Martensen</w:t>
      </w:r>
    </w:p>
    <w:p>
      <w:pPr>
        <w:jc w:val="both"/>
      </w:pPr>
      <w:r>
        <w:t>Helga überwies im Zeitraum Januar 2024 bis November 2025 insgesamt 6.200 Euro mit wechselnden Verwendungszwecken „Fahrten“, „Material“ und „Danke“. Karsten ordnet 4.150 Euro konkreten Auslagen zu und behandelt 2.050 Euro als pauschale Kostenerstattung. Eine schriftliche Vergütungsvereinbarung liegt nicht vor.</w:t>
      </w:r>
    </w:p>
    <w:p>
      <w:pPr>
        <w:pStyle w:val="Heading1"/>
      </w:pPr>
      <w:r>
        <w:t>3. Gebäudekosten</w:t>
      </w:r>
    </w:p>
    <w:tbl>
      <w:tblPr>
        <w:tblStyle w:val="TableGrid"/>
        <w:tblW w:type="dxa" w:w="9600"/>
        <w:tblLayout w:type="fixed"/>
        <w:tblLook w:firstColumn="1" w:firstRow="1" w:lastColumn="0" w:lastRow="0" w:noHBand="0" w:noVBand="1" w:val="04A0"/>
        <w:tblInd w:w="120" w:type="dxa"/>
      </w:tblPr>
      <w:tblGrid>
        <w:gridCol w:w="2550"/>
        <w:gridCol w:w="1450"/>
        <w:gridCol w:w="1900"/>
        <w:gridCol w:w="3700"/>
      </w:tblGrid>
      <w:tr>
        <w:trPr>
          <w:tblHeader w:val="true"/>
        </w:trPr>
        <w:tc>
          <w:tcPr>
            <w:tcW w:type="dxa" w:w="2550"/>
            <w:vAlign w:val="center"/>
            <w:shd w:fill="DCE6F1"/>
            <w:tcMar>
              <w:top w:w="90" w:type="dxa"/>
              <w:start w:w="120" w:type="dxa"/>
              <w:bottom w:w="90" w:type="dxa"/>
              <w:end w:w="120" w:type="dxa"/>
            </w:tcMar>
          </w:tcPr>
          <w:p>
            <w:pPr>
              <w:spacing w:after="0"/>
            </w:pPr>
            <w:r>
              <w:rPr>
                <w:rFonts w:ascii="Arial" w:hAnsi="Arial"/>
                <w:b/>
                <w:sz w:val="18"/>
              </w:rPr>
              <w:t>Rechnung</w:t>
            </w:r>
          </w:p>
        </w:tc>
        <w:tc>
          <w:tcPr>
            <w:tcW w:type="dxa" w:w="1450"/>
            <w:vAlign w:val="center"/>
            <w:shd w:fill="DCE6F1"/>
            <w:tcMar>
              <w:top w:w="90" w:type="dxa"/>
              <w:start w:w="120" w:type="dxa"/>
              <w:bottom w:w="90" w:type="dxa"/>
              <w:end w:w="120" w:type="dxa"/>
            </w:tcMar>
          </w:tcPr>
          <w:p>
            <w:pPr>
              <w:spacing w:after="0"/>
            </w:pPr>
            <w:r>
              <w:rPr>
                <w:rFonts w:ascii="Arial" w:hAnsi="Arial"/>
                <w:b/>
                <w:sz w:val="18"/>
              </w:rPr>
              <w:t>Betrag</w:t>
            </w:r>
          </w:p>
        </w:tc>
        <w:tc>
          <w:tcPr>
            <w:tcW w:type="dxa" w:w="1900"/>
            <w:vAlign w:val="center"/>
            <w:shd w:fill="DCE6F1"/>
            <w:tcMar>
              <w:top w:w="90" w:type="dxa"/>
              <w:start w:w="120" w:type="dxa"/>
              <w:bottom w:w="90" w:type="dxa"/>
              <w:end w:w="120" w:type="dxa"/>
            </w:tcMar>
          </w:tcPr>
          <w:p>
            <w:pPr>
              <w:spacing w:after="0"/>
            </w:pPr>
            <w:r>
              <w:rPr>
                <w:rFonts w:ascii="Arial" w:hAnsi="Arial"/>
                <w:b/>
                <w:sz w:val="18"/>
              </w:rPr>
              <w:t>Zahlender</w:t>
            </w:r>
          </w:p>
        </w:tc>
        <w:tc>
          <w:tcPr>
            <w:tcW w:type="dxa" w:w="3700"/>
            <w:vAlign w:val="center"/>
            <w:shd w:fill="DCE6F1"/>
            <w:tcMar>
              <w:top w:w="90" w:type="dxa"/>
              <w:start w:w="120" w:type="dxa"/>
              <w:bottom w:w="90" w:type="dxa"/>
              <w:end w:w="120" w:type="dxa"/>
            </w:tcMar>
          </w:tcPr>
          <w:p>
            <w:pPr>
              <w:spacing w:after="0"/>
            </w:pPr>
            <w:r>
              <w:rPr>
                <w:rFonts w:ascii="Arial" w:hAnsi="Arial"/>
                <w:b/>
                <w:sz w:val="18"/>
              </w:rPr>
              <w:t>Nutzung / Streitpunkt</w:t>
            </w:r>
          </w:p>
        </w:tc>
      </w:tr>
      <w:tr>
        <w:tc>
          <w:tcPr>
            <w:tcW w:type="dxa" w:w="2550"/>
            <w:vAlign w:val="center"/>
            <w:tcMar>
              <w:top w:w="90" w:type="dxa"/>
              <w:start w:w="120" w:type="dxa"/>
              <w:bottom w:w="90" w:type="dxa"/>
              <w:end w:w="120" w:type="dxa"/>
            </w:tcMar>
          </w:tcPr>
          <w:p>
            <w:pPr>
              <w:spacing w:after="0" w:line="259" w:lineRule="auto"/>
            </w:pPr>
            <w:r>
              <w:rPr>
                <w:rFonts w:ascii="Arial" w:hAnsi="Arial"/>
                <w:sz w:val="17"/>
              </w:rPr>
              <w:t>Norddach GmbH, 17.08.2020</w:t>
            </w:r>
          </w:p>
        </w:tc>
        <w:tc>
          <w:tcPr>
            <w:tcW w:type="dxa" w:w="1450"/>
            <w:vAlign w:val="center"/>
            <w:tcMar>
              <w:top w:w="90" w:type="dxa"/>
              <w:start w:w="120" w:type="dxa"/>
              <w:bottom w:w="90" w:type="dxa"/>
              <w:end w:w="120" w:type="dxa"/>
            </w:tcMar>
          </w:tcPr>
          <w:p>
            <w:pPr>
              <w:spacing w:after="0" w:line="259" w:lineRule="auto"/>
            </w:pPr>
            <w:r>
              <w:rPr>
                <w:rFonts w:ascii="Arial" w:hAnsi="Arial"/>
                <w:sz w:val="17"/>
              </w:rPr>
              <w:t>19.800 EUR</w:t>
            </w:r>
          </w:p>
        </w:tc>
        <w:tc>
          <w:tcPr>
            <w:tcW w:type="dxa" w:w="1900"/>
            <w:vAlign w:val="center"/>
            <w:tcMar>
              <w:top w:w="90" w:type="dxa"/>
              <w:start w:w="120" w:type="dxa"/>
              <w:bottom w:w="90" w:type="dxa"/>
              <w:end w:w="120" w:type="dxa"/>
            </w:tcMar>
          </w:tcPr>
          <w:p>
            <w:pPr>
              <w:spacing w:after="0" w:line="259" w:lineRule="auto"/>
            </w:pPr>
            <w:r>
              <w:rPr>
                <w:rFonts w:ascii="Arial" w:hAnsi="Arial"/>
                <w:sz w:val="17"/>
              </w:rPr>
              <w:t>Karsten</w:t>
            </w:r>
          </w:p>
        </w:tc>
        <w:tc>
          <w:tcPr>
            <w:tcW w:type="dxa" w:w="3700"/>
            <w:vAlign w:val="center"/>
            <w:tcMar>
              <w:top w:w="90" w:type="dxa"/>
              <w:start w:w="120" w:type="dxa"/>
              <w:bottom w:w="90" w:type="dxa"/>
              <w:end w:w="120" w:type="dxa"/>
            </w:tcMar>
          </w:tcPr>
          <w:p>
            <w:pPr>
              <w:spacing w:after="0" w:line="259" w:lineRule="auto"/>
            </w:pPr>
            <w:r>
              <w:rPr>
                <w:rFonts w:ascii="Arial" w:hAnsi="Arial"/>
                <w:sz w:val="17"/>
              </w:rPr>
              <w:t>Sturmschaden und Dachhaut; Versicherung zahlte 7.200 EUR</w:t>
            </w:r>
          </w:p>
        </w:tc>
      </w:tr>
      <w:tr>
        <w:tc>
          <w:tcPr>
            <w:tcW w:type="dxa" w:w="2550"/>
            <w:vAlign w:val="center"/>
            <w:shd w:fill="F2F4F7"/>
            <w:tcMar>
              <w:top w:w="90" w:type="dxa"/>
              <w:start w:w="120" w:type="dxa"/>
              <w:bottom w:w="90" w:type="dxa"/>
              <w:end w:w="120" w:type="dxa"/>
            </w:tcMar>
          </w:tcPr>
          <w:p>
            <w:pPr>
              <w:spacing w:after="0" w:line="259" w:lineRule="auto"/>
            </w:pPr>
            <w:r>
              <w:rPr>
                <w:rFonts w:ascii="Arial" w:hAnsi="Arial"/>
                <w:sz w:val="17"/>
              </w:rPr>
              <w:t>Thermo Föhr, 08.11.2022</w:t>
            </w:r>
          </w:p>
        </w:tc>
        <w:tc>
          <w:tcPr>
            <w:tcW w:type="dxa" w:w="1450"/>
            <w:vAlign w:val="center"/>
            <w:shd w:fill="F2F4F7"/>
            <w:tcMar>
              <w:top w:w="90" w:type="dxa"/>
              <w:start w:w="120" w:type="dxa"/>
              <w:bottom w:w="90" w:type="dxa"/>
              <w:end w:w="120" w:type="dxa"/>
            </w:tcMar>
          </w:tcPr>
          <w:p>
            <w:pPr>
              <w:spacing w:after="0" w:line="259" w:lineRule="auto"/>
            </w:pPr>
            <w:r>
              <w:rPr>
                <w:rFonts w:ascii="Arial" w:hAnsi="Arial"/>
                <w:sz w:val="17"/>
              </w:rPr>
              <w:t>12.400 EUR</w:t>
            </w:r>
          </w:p>
        </w:tc>
        <w:tc>
          <w:tcPr>
            <w:tcW w:type="dxa" w:w="1900"/>
            <w:vAlign w:val="center"/>
            <w:shd w:fill="F2F4F7"/>
            <w:tcMar>
              <w:top w:w="90" w:type="dxa"/>
              <w:start w:w="120" w:type="dxa"/>
              <w:bottom w:w="90" w:type="dxa"/>
              <w:end w:w="120" w:type="dxa"/>
            </w:tcMar>
          </w:tcPr>
          <w:p>
            <w:pPr>
              <w:spacing w:after="0" w:line="259" w:lineRule="auto"/>
            </w:pPr>
            <w:r>
              <w:rPr>
                <w:rFonts w:ascii="Arial" w:hAnsi="Arial"/>
                <w:sz w:val="17"/>
              </w:rPr>
              <w:t>Gemeinschaftskonto</w:t>
            </w:r>
          </w:p>
        </w:tc>
        <w:tc>
          <w:tcPr>
            <w:tcW w:type="dxa" w:w="3700"/>
            <w:vAlign w:val="center"/>
            <w:shd w:fill="F2F4F7"/>
            <w:tcMar>
              <w:top w:w="90" w:type="dxa"/>
              <w:start w:w="120" w:type="dxa"/>
              <w:bottom w:w="90" w:type="dxa"/>
              <w:end w:w="120" w:type="dxa"/>
            </w:tcMar>
          </w:tcPr>
          <w:p>
            <w:pPr>
              <w:spacing w:after="0" w:line="259" w:lineRule="auto"/>
            </w:pPr>
            <w:r>
              <w:rPr>
                <w:rFonts w:ascii="Arial" w:hAnsi="Arial"/>
                <w:sz w:val="17"/>
              </w:rPr>
              <w:t>Heizkessel für Gesamtgebäude</w:t>
            </w:r>
          </w:p>
        </w:tc>
      </w:tr>
      <w:tr>
        <w:tc>
          <w:tcPr>
            <w:tcW w:type="dxa" w:w="2550"/>
            <w:vAlign w:val="center"/>
            <w:tcMar>
              <w:top w:w="90" w:type="dxa"/>
              <w:start w:w="120" w:type="dxa"/>
              <w:bottom w:w="90" w:type="dxa"/>
              <w:end w:w="120" w:type="dxa"/>
            </w:tcMar>
          </w:tcPr>
          <w:p>
            <w:pPr>
              <w:spacing w:after="0" w:line="259" w:lineRule="auto"/>
            </w:pPr>
            <w:r>
              <w:rPr>
                <w:rFonts w:ascii="Arial" w:hAnsi="Arial"/>
                <w:sz w:val="17"/>
              </w:rPr>
              <w:t>Maler Rickert, 14.03.2024</w:t>
            </w:r>
          </w:p>
        </w:tc>
        <w:tc>
          <w:tcPr>
            <w:tcW w:type="dxa" w:w="1450"/>
            <w:vAlign w:val="center"/>
            <w:tcMar>
              <w:top w:w="90" w:type="dxa"/>
              <w:start w:w="120" w:type="dxa"/>
              <w:bottom w:w="90" w:type="dxa"/>
              <w:end w:w="120" w:type="dxa"/>
            </w:tcMar>
          </w:tcPr>
          <w:p>
            <w:pPr>
              <w:spacing w:after="0" w:line="259" w:lineRule="auto"/>
            </w:pPr>
            <w:r>
              <w:rPr>
                <w:rFonts w:ascii="Arial" w:hAnsi="Arial"/>
                <w:sz w:val="17"/>
              </w:rPr>
              <w:t>6.300 EUR</w:t>
            </w:r>
          </w:p>
        </w:tc>
        <w:tc>
          <w:tcPr>
            <w:tcW w:type="dxa" w:w="1900"/>
            <w:vAlign w:val="center"/>
            <w:tcMar>
              <w:top w:w="90" w:type="dxa"/>
              <w:start w:w="120" w:type="dxa"/>
              <w:bottom w:w="90" w:type="dxa"/>
              <w:end w:w="120" w:type="dxa"/>
            </w:tcMar>
          </w:tcPr>
          <w:p>
            <w:pPr>
              <w:spacing w:after="0" w:line="259" w:lineRule="auto"/>
            </w:pPr>
            <w:r>
              <w:rPr>
                <w:rFonts w:ascii="Arial" w:hAnsi="Arial"/>
                <w:sz w:val="17"/>
              </w:rPr>
              <w:t>Karsten</w:t>
            </w:r>
          </w:p>
        </w:tc>
        <w:tc>
          <w:tcPr>
            <w:tcW w:type="dxa" w:w="3700"/>
            <w:vAlign w:val="center"/>
            <w:tcMar>
              <w:top w:w="90" w:type="dxa"/>
              <w:start w:w="120" w:type="dxa"/>
              <w:bottom w:w="90" w:type="dxa"/>
              <w:end w:w="120" w:type="dxa"/>
            </w:tcMar>
          </w:tcPr>
          <w:p>
            <w:pPr>
              <w:spacing w:after="0" w:line="259" w:lineRule="auto"/>
            </w:pPr>
            <w:r>
              <w:rPr>
                <w:rFonts w:ascii="Arial" w:hAnsi="Arial"/>
                <w:sz w:val="17"/>
              </w:rPr>
              <w:t>Fassade und Fenster Ferienwohnungen</w:t>
            </w:r>
          </w:p>
        </w:tc>
      </w:tr>
      <w:tr>
        <w:tc>
          <w:tcPr>
            <w:tcW w:type="dxa" w:w="2550"/>
            <w:vAlign w:val="center"/>
            <w:shd w:fill="F2F4F7"/>
            <w:tcMar>
              <w:top w:w="90" w:type="dxa"/>
              <w:start w:w="120" w:type="dxa"/>
              <w:bottom w:w="90" w:type="dxa"/>
              <w:end w:w="120" w:type="dxa"/>
            </w:tcMar>
          </w:tcPr>
          <w:p>
            <w:pPr>
              <w:spacing w:after="0" w:line="259" w:lineRule="auto"/>
            </w:pPr>
            <w:r>
              <w:rPr>
                <w:rFonts w:ascii="Arial" w:hAnsi="Arial"/>
                <w:sz w:val="17"/>
              </w:rPr>
              <w:t>Trocknung Küste, 02.10.2025</w:t>
            </w:r>
          </w:p>
        </w:tc>
        <w:tc>
          <w:tcPr>
            <w:tcW w:type="dxa" w:w="1450"/>
            <w:vAlign w:val="center"/>
            <w:shd w:fill="F2F4F7"/>
            <w:tcMar>
              <w:top w:w="90" w:type="dxa"/>
              <w:start w:w="120" w:type="dxa"/>
              <w:bottom w:w="90" w:type="dxa"/>
              <w:end w:w="120" w:type="dxa"/>
            </w:tcMar>
          </w:tcPr>
          <w:p>
            <w:pPr>
              <w:spacing w:after="0" w:line="259" w:lineRule="auto"/>
            </w:pPr>
            <w:r>
              <w:rPr>
                <w:rFonts w:ascii="Arial" w:hAnsi="Arial"/>
                <w:sz w:val="17"/>
              </w:rPr>
              <w:t>4.860 EUR</w:t>
            </w:r>
          </w:p>
        </w:tc>
        <w:tc>
          <w:tcPr>
            <w:tcW w:type="dxa" w:w="1900"/>
            <w:vAlign w:val="center"/>
            <w:shd w:fill="F2F4F7"/>
            <w:tcMar>
              <w:top w:w="90" w:type="dxa"/>
              <w:start w:w="120" w:type="dxa"/>
              <w:bottom w:w="90" w:type="dxa"/>
              <w:end w:w="120" w:type="dxa"/>
            </w:tcMar>
          </w:tcPr>
          <w:p>
            <w:pPr>
              <w:spacing w:after="0" w:line="259" w:lineRule="auto"/>
            </w:pPr>
            <w:r>
              <w:rPr>
                <w:rFonts w:ascii="Arial" w:hAnsi="Arial"/>
                <w:sz w:val="17"/>
              </w:rPr>
              <w:t>Helga</w:t>
            </w:r>
          </w:p>
        </w:tc>
        <w:tc>
          <w:tcPr>
            <w:tcW w:type="dxa" w:w="3700"/>
            <w:vAlign w:val="center"/>
            <w:shd w:fill="F2F4F7"/>
            <w:tcMar>
              <w:top w:w="90" w:type="dxa"/>
              <w:start w:w="120" w:type="dxa"/>
              <w:bottom w:w="90" w:type="dxa"/>
              <w:end w:w="120" w:type="dxa"/>
            </w:tcMar>
          </w:tcPr>
          <w:p>
            <w:pPr>
              <w:spacing w:after="0" w:line="259" w:lineRule="auto"/>
            </w:pPr>
            <w:r>
              <w:rPr>
                <w:rFonts w:ascii="Arial" w:hAnsi="Arial"/>
                <w:sz w:val="17"/>
              </w:rPr>
              <w:t>Feuchtigkeit Erdgeschoss</w:t>
            </w:r>
          </w:p>
        </w:tc>
      </w:tr>
    </w:tbl>
    <w:p>
      <w:pPr>
        <w:spacing w:after="0"/>
      </w:pPr>
    </w:p>
    <w:p>
      <w:pPr>
        <w:pStyle w:val="Heading1"/>
      </w:pPr>
      <w:r>
        <w:t>4. Fehlende Unterlagen</w:t>
      </w:r>
    </w:p>
    <w:p>
      <w:pPr>
        <w:jc w:val="both"/>
      </w:pPr>
      <w:r>
        <w:t>Zur Dachrechnung fehlen die Versicherungsabrechnung und der Zahlungsnachweis über den Restbetrag. Für die Heizung ist offen, ob das Gemeinschaftskonto aus Ferienmieten gespeist wurde. Bei den Pflegezeiten fehlen Abgrenzungen zu Besuchen aus familiärem Anlass. Diese Punkte sollen vor einer Verrechnung geklärt werden.</w:t>
      </w:r>
    </w:p>
    <w:p>
      <w:pPr>
        <w:jc w:val="both"/>
      </w:pPr>
      <w:r>
        <w:t>Sylt, 24. Juni 2026 Karsten Martensen</w:t>
      </w:r>
    </w:p>
    <w:sectPr w:rsidR="00FC693F" w:rsidRPr="0006063C" w:rsidSect="00034616">
      <w:headerReference w:type="default" r:id="rId9"/>
      <w:footerReference w:type="default" r:id="rId10"/>
      <w:pgSz w:w="11906" w:h="16838"/>
      <w:pgMar w:top="1020" w:right="1134" w:bottom="1020"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586069"/>
        <w:sz w:val="16"/>
      </w:rPr>
      <w:t xml:space="preserve">Seite </w:t>
    </w:r>
    <w:r>
      <w:rPr>
        <w:rFonts w:ascii="Arial" w:hAnsi="Arial"/>
        <w:color w:val="58606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586069"/>
        <w:sz w:val="16"/>
      </w:rPr>
      <w:t>Karsten Martensen  |  Anlage KM-4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25"/>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160"/>
      <w:contextualSpacing/>
    </w:pPr>
    <w:rPr>
      <w:rFonts w:asciiTheme="majorHAnsi" w:eastAsiaTheme="majorEastAsia" w:hAnsiTheme="majorHAnsi" w:cstheme="majorBidi" w:ascii="Arial" w:hAnsi="Arial"/>
      <w:b/>
      <w:color w:val="17365D"/>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Aufstellung Pflege, Betreuung und Gebäudekosten</dc:title>
  <dc:subject>Anlage KM-4</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