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ANWALTSSCHREIBEN</w:t>
      </w:r>
    </w:p>
    <w:p>
      <w:pPr>
        <w:spacing w:after="40"/>
      </w:pPr>
      <w:r>
        <w:rPr>
          <w:rFonts w:ascii="Arial" w:hAnsi="Arial"/>
          <w:b/>
          <w:sz w:val="25"/>
        </w:rPr>
        <w:t>Rechtsanwälte Fricke &amp; Albus</w:t>
      </w:r>
    </w:p>
    <w:p>
      <w:pPr>
        <w:spacing w:after="200"/>
      </w:pPr>
      <w:r>
        <w:rPr>
          <w:rFonts w:ascii="Arial" w:hAnsi="Arial"/>
          <w:color w:val="586069"/>
          <w:sz w:val="17"/>
        </w:rPr>
        <w:t>Erbrecht | Domstraße 18 | 97070 Würzburg</w:t>
      </w:r>
    </w:p>
    <w:p>
      <w:pPr>
        <w:spacing w:after="160"/>
      </w:pPr>
      <w:r>
        <w:t>Kanzlei Steinbrück Partnerschaft</w:t>
      </w:r>
    </w:p>
    <w:p>
      <w:pPr>
        <w:spacing w:after="80"/>
      </w:pPr>
      <w:r>
        <w:rPr>
          <w:rFonts w:ascii="Arial" w:hAnsi="Arial"/>
          <w:color w:val="586069"/>
          <w:sz w:val="18"/>
        </w:rPr>
        <w:t>Datum: 08.05.2026  |  Zeichen: FA/26-122 TB</w:t>
      </w:r>
    </w:p>
    <w:p>
      <w:pPr>
        <w:pStyle w:val="Title"/>
      </w:pPr>
      <w:r>
        <w:t>Nachlass Heinrich Baumann - Pflichtteil und Unternehmenswert</w:t>
      </w:r>
    </w:p>
    <w:p>
      <w:pPr>
        <w:jc w:val="both"/>
      </w:pPr>
      <w:r>
        <w:t>Sehr geehrter Herr Kollege Steinbrück, wir vertreten Herrn Tilo Baumann. Unser Mandant verlangt keine Zerschlagung des Familienunternehmens. Er wird aber weder eine intransparente Bewertung noch eine einseitige Verlagerung von Risiken auf seinen Pflichtteil hinnehmen.</w:t>
      </w:r>
    </w:p>
    <w:p>
      <w:pPr>
        <w:pStyle w:val="Heading1"/>
      </w:pPr>
      <w:r>
        <w:t>1. Auskunft</w:t>
      </w:r>
    </w:p>
    <w:p>
      <w:pPr>
        <w:jc w:val="both"/>
      </w:pPr>
      <w:r>
        <w:t>Erforderlich sind ein notarielles Nachlassverzeichnis, Konto- und Depotauskünfte, Verträge über lebzeitige Zuwendungen, das Verrechnungskonto des Erblassers sowie sämtliche Bewertungsunterlagen zu den GmbH-Anteilen. Die bisher übersandte interne Unternehmensplanung ist weder vollständig noch unabhängig.</w:t>
      </w:r>
    </w:p>
    <w:p>
      <w:pPr>
        <w:pStyle w:val="Heading1"/>
      </w:pPr>
      <w:r>
        <w:t>2. Unternehmensbewertung</w:t>
      </w:r>
    </w:p>
    <w:p>
      <w:pPr>
        <w:jc w:val="both"/>
      </w:pPr>
      <w:r>
        <w:t>Unser Mandant verlangt eine Bewertung zum Todestag, die Ertragslage, Auftragsbestand, nicht betriebsnotwendiges Vermögen, Gesellschafterdarlehen und Geschäftsführervergütungen nachvollziehbar berücksichtigt. Die geplante Fertigungslinie darf nicht ohne Prüfung als wertmindernde Verpflichtung behandelt werden. Synergien eines hypothetischen Erwerbers und satzungsmäßige Abfindungsregeln sind getrennt auszuweisen.</w:t>
      </w:r>
    </w:p>
    <w:p>
      <w:pPr>
        <w:pStyle w:val="Heading1"/>
      </w:pPr>
      <w:r>
        <w:t>3. Testamentsvollstreckung</w:t>
      </w:r>
    </w:p>
    <w:p>
      <w:pPr>
        <w:jc w:val="both"/>
      </w:pPr>
      <w:r>
        <w:t>Die Reichweite der Testamentsvollstreckung ist anhand der Verfügung von Todes wegen, der Satzung und des Vollstreckerzeugnisses zu klären. Unser Mandant widerspricht einer Darstellung, nach der die Geschäftsführung ohne Kontrolle über sämtliche Gesellschafterrechte verfügen könnte. Zugleich wird nicht behauptet, Dr. Lehnert dürfe das operative Geschäft führen.</w:t>
      </w:r>
    </w:p>
    <w:p>
      <w:pPr>
        <w:pStyle w:val="Heading1"/>
      </w:pPr>
      <w:r>
        <w:t>4. Vergleich</w:t>
      </w:r>
    </w:p>
    <w:p>
      <w:pPr>
        <w:jc w:val="both"/>
      </w:pPr>
      <w:r>
        <w:t>Nach Vorlage der Auskünfte ist unser Mandant bereit, Stundung, Ratenzahlung und Sicherheiten zu verhandeln. Voraussetzung sind ein unabhängiger Gutachter, eine belastbare Liquiditätsplanung und eine Gleichbehandlung mit sonstigen Entnahmen oder Ausschüttungen an Familienmitglieder.</w:t>
      </w:r>
    </w:p>
    <w:p>
      <w:pPr>
        <w:jc w:val="both"/>
      </w:pPr>
      <w:r>
        <w:t>Mit freundlichen kollegialen Grüßen Dr. Nils Fricke Rechtsanwalt</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Rechtsanwälte Fricke &amp; Albus  |  FA/26-122 TB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Nachlass Heinrich Baumann - Pflichtteil und Unternehmenswert</dc:title>
  <dc:subject>FA/26-122 TB</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